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Ḥájí ‘Abdu’lláh Najaf-Ábádí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Once he had become a believer, Ḥájí ‘Abdu’lláh left his native Persia, hastened to the Holy Land, and under the sheltering grace of Bahá’u’lláh found peace of heart. He was a man confident, steadfast and firm; certain of the manifold bounties of God; of an excellent disposition and character. </w:t>
      </w:r>
    </w:p>
    <w:p>
      <w:pPr>
        <w:pStyle w:val="NormalWeb"/>
        <w:jc w:val="both"/>
        <w:rPr/>
      </w:pPr>
      <w:r>
        <w:rPr>
          <w:rFonts w:cs="Times New Roman" w:ascii="Times New Roman" w:hAnsi="Times New Roman"/>
          <w:sz w:val="32"/>
          <w:szCs w:val="32"/>
        </w:rPr>
        <w:t xml:space="preserve">He spent his days in friendly association with the other </w:t>
      </w:r>
      <w:bookmarkStart w:id="0" w:name="Page_67"/>
      <w:bookmarkEnd w:id="0"/>
      <w:r>
        <w:rPr>
          <w:rFonts w:cs="Times New Roman" w:ascii="Times New Roman" w:hAnsi="Times New Roman"/>
          <w:sz w:val="32"/>
          <w:szCs w:val="32"/>
        </w:rPr>
        <w:t xml:space="preserve">believers. Then for a while he went to </w:t>
      </w:r>
      <w:r>
        <w:rPr>
          <w:rFonts w:cs="Times New Roman" w:ascii="Times New Roman" w:hAnsi="Times New Roman"/>
          <w:sz w:val="32"/>
          <w:szCs w:val="32"/>
          <w:u w:val="single"/>
        </w:rPr>
        <w:t>Gh</w:t>
      </w:r>
      <w:r>
        <w:rPr>
          <w:rFonts w:cs="Times New Roman" w:ascii="Times New Roman" w:hAnsi="Times New Roman"/>
          <w:sz w:val="32"/>
          <w:szCs w:val="32"/>
        </w:rPr>
        <w:t xml:space="preserve">awr, near Tiberias, where he farmed, both tilling the soil and devoting much of his time to supplicating and communing with God. He was an excellent man, high-minded and unsullied. </w:t>
      </w:r>
    </w:p>
    <w:p>
      <w:pPr>
        <w:pStyle w:val="NormalWeb"/>
        <w:jc w:val="both"/>
        <w:rPr/>
      </w:pPr>
      <w:r>
        <w:rPr>
          <w:rFonts w:cs="Times New Roman" w:ascii="Times New Roman" w:hAnsi="Times New Roman"/>
          <w:sz w:val="32"/>
          <w:szCs w:val="32"/>
        </w:rPr>
        <w:t xml:space="preserve">Later he returned from </w:t>
      </w:r>
      <w:r>
        <w:rPr>
          <w:rFonts w:cs="Times New Roman" w:ascii="Times New Roman" w:hAnsi="Times New Roman"/>
          <w:sz w:val="32"/>
          <w:szCs w:val="32"/>
          <w:u w:val="single"/>
        </w:rPr>
        <w:t>Gh</w:t>
      </w:r>
      <w:r>
        <w:rPr>
          <w:rFonts w:cs="Times New Roman" w:ascii="Times New Roman" w:hAnsi="Times New Roman"/>
          <w:sz w:val="32"/>
          <w:szCs w:val="32"/>
        </w:rPr>
        <w:t xml:space="preserve">awr, settled near Bahá’u’lláh in Junayna, and came often into His presence. His eyes were fixed on the Abhá Kingdom; sometimes he would shed tears and moan, again he would rejoice, glad because he had achieved his supreme desire. He was completely detached from all but God, happy in God’s grace. He would keep a vigil most of the night, remaining in a state of prayer. Then death came at the appointed hour, and in the shadowing care of Bahá’u’lláh he ascended, hurried away from this world of dust to the high Firmament, soared upward to the secret land. Unto him be salutations, mercy and praise, in the neighborhood of his exalted Lord.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