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نهی از تأویل کلمات الهی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يُؤَوِّلُ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نُزِّلَ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سَمَاءِ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الْوَحْي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وَيخْرِجُهُ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الظَّاهِرِ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مِمَّنْ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حَرَّفَ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کَلِمَةَ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الْعُلْيَا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وَکَانَ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الْأَخْسَرِيْنَ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کِتابٍ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مُبِينٍ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کتاب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105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وَمِنْهُمْ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يَدَّعِي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الْبَاطِنَ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وَبَاطِنَ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الْبَاطِنَ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قُلْ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يُّهَا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الکَذَّابُ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الْقُشُوْرِ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تَرَکْنَاهَا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تُتْرَکُ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الْعِظامُ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لِلْکَلَابِ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کتاب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فَاغْسِلُوْا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وُجُوْهکُمْ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غُسل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غُسلِ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وَجهِ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غُسل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مؤوَّلَست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 يَعْلَمُ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تَأوِيْلَهُ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اِلّا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اقتدارات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اشاره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عمران 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284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بتأويل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الْمُؤَوِّلِيْنَ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الْيَوْمِ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الْمُتَوَهِّمِوْنَ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امر و خلق،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451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امر و خلق،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446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برحسب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 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مستطاب ايقان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محجوب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مطّلع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٤٥٣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صريحه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مصطلح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 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آيه اشاره است به کسانی که مدّعی علم باطن هستند و تعلّق شديدشان به چنين علومی آنها را از شناسائی مظهر الهی ممنوع می سازد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جای ديگر جمال مبارک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نفوسی که به اوهام خود معتکف شده‌اند و اسم آن را باطن گذاشته‌اند فی الحقيقه عبده اصنامند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کتاب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در بسياری از الواح تفاوت بين آيات متشابهات و آيات محکمات را بيان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متشابهات آياتی است که قابل تأويل است و محکمات اوامر الهی است که معنای آنها واضح و اهل بهاء مأمور به اجرای آنها هستند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همان طور که در يادداشتهای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١٨٤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توضيح داده شده ، حضرت بهاءاللّه فرزند ارشد خود ، حضرت عبدالبهاء ، را جانشين و مبيّن منصوص تعاليم خويش منصوب 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نيز حفيد ارشدشان ، حضرت شوقی افندی ، را بعد از خود به سمت مبيّن آيات و وليّ امراللّه معيّن 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اهل بهاء آنچه را که حضرت عبدالبهاء و حضرت وليّ امراللّه تبيين فرموده اند هدايت الهيّه ميدانند و قبولش را از فرايض حتميّه خود می شمارند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امّا اين نصوص قاطعه مانع از اين نيست که افراد احبّاء از مطالعه و غور و تعمّق در آثار الهی و حصول استنباطات شخصی خودداری نمايند ، ولی البتّه مطابق بيانات مبارکه فرق و تمايزی فاحش بين نصوص قاطعه و استنباطات شخصيّه موجود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آنچه افراد از بيانات مبارکه بر حسب فهم و ادراک خويش استنباط نمايند نتيجه فکر بشری است و هر چند ممکن است در کشف حقايق امريّه مؤثّر و مفيد باشد وليکن فاقد اعتبار و سنديّت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از اين رو به افراد احبّاء اکيداً تذکّر داده شده که در اظهار نظر و ابراز عقايد خود همواره آيات منزله را حجّت دانند و فصل الخطاب شمارند و به انکار تبيينات منصوصه نپردازند و معارضه ننمايند و راه جدل در پيش نگيرند بلکه نظريّات خود را به عنوان خدمتی به توسعه معارف عرضه داشته تصريح نمايند که آنچه اظهار می دارند نظريّات شخصيّه آنان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کتاب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8"/>
        <w:szCs w:val="28"/>
        <w:lang w:bidi="fa-IR"/>
      </w:rPr>
    </w:pPr>
    <w:r>
      <w:rPr>
        <w:rFonts w:ascii="Traditional Arabic" w:hAnsi="Traditional Arabic" w:cs="Traditional Arabic"/>
        <w:sz w:val="28"/>
        <w:sz w:val="28"/>
        <w:szCs w:val="28"/>
        <w:rtl w:val="true"/>
        <w:lang w:bidi="fa-IR"/>
      </w:rPr>
      <w:t>نهی از تأویل کلمات الهی</w:t>
    </w:r>
    <w:r>
      <w:rPr>
        <w:rFonts w:ascii="Traditional Arabic" w:hAnsi="Traditional Arabic" w:cs="Traditional Arabic"/>
        <w:sz w:val="28"/>
        <w:sz w:val="28"/>
        <w:szCs w:val="28"/>
        <w:lang w:bidi="fa-I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