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00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الوضوء</w:t>
      </w:r>
      <w:r>
        <w:rPr>
          <w:rFonts w:cs="Traditional Arabic" w:ascii="Traditional Arabic" w:hAnsi="Traditional Arabic"/>
          <w:b/>
          <w:bCs/>
          <w:color w:val="000000"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>الوضوء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>قبل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>الصّلاة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  <w:lang w:bidi="ar-SA"/>
        </w:rPr>
        <w:t>فرض</w:t>
      </w:r>
      <w:r>
        <w:rPr>
          <w:rFonts w:eastAsia="MS Mincho;ＭＳ 明朝"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SA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كذلك توضّأوا للص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أمرا من الله الواحد 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يصحّ وضوء صلاة الصّبح لصلاة الظّهر، وكذلك هل يصحّ وضوء صلاة الظّهر لصلاة الأصيل؟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الوضوء مربوط بالصّلاة، ويجب تجديده لكلّ صلاة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يجوز تلاوة الاسم الأعظم خمسا وتسعين مرّة بنفس وضوء الصّلاة أم لا؟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ضرورة لتجديد الوضوء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يلزم الوضوء قبل الصّلاة، وعند عدم وجود الماء يجب التّيمّم بتلاوة الآية المنزّلة لذلك خمس مرّات متواليات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تفصيل الوضوء في الشّرح فقرة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وتسعين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الدّعاء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الوسطى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يقترن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الاغتسال،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الاستحمام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التّيمّم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يضرّهم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51</w:t>
      </w:r>
      <w:r>
        <w:rPr>
          <w:rFonts w:cs="Traditional Arabic" w:ascii="Traditional Arabic" w:hAnsi="Traditional Arabic"/>
          <w:sz w:val="28"/>
          <w:szCs w:val="28"/>
          <w:rtl w:val="true"/>
        </w:rPr>
        <w:t>).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51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62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66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77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86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