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سمور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استخوان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امثال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مُبطل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نيست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لا 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بطل الشّعر صلو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تكم ولا ما منع عن الرّوح مثل العظام وغيرها البسوا السّمّور كما تلبسون الخزّ والسّنجاب وما دونهما إنّه ما نهي في الفرقان ولكن اشتبه على العلم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ء إنّه لهو العزيز العلا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م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9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پيروان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بعضی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گذشته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عقيده‌اند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برخی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حيوانات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بعضی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همراه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نمازگزار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لباس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بطلان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نقطه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عربی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مبطل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تأييد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