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أُعفي من الصّوم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ar-JO"/>
        </w:rPr>
        <w:t>:</w:t>
      </w:r>
      <w:r>
        <w:rPr>
          <w:rFonts w:cs="Traditional Arabic" w:ascii="Traditional Arabic" w:hAnsi="Traditional Arabic"/>
          <w:b/>
          <w:bCs/>
          <w:sz w:val="56"/>
          <w:szCs w:val="56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مريضاً</w:t>
      </w: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فرض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والص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وم من أوّل البلوغ أمرا من لدى الله ربّكم ورب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آب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ئكم الأوّلين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كان في نفسه ضعف من المرض أو الهرم عفا الله عنه فضلا من عنده إنّه لهو الغفور الكريم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 قلم الأعلى قل يا ملأ الإنش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قد كتبنا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يام أيّاما معدودات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ليس على المسافر والمريض والحامل والمرضع من حرج عفا الله عنهم فضلا من عنده إنّه لهو العزيز الوه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صوم المريض وصلاته؟</w:t>
      </w: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 أقول، للصّوم والصّلاة عند الله مقام عظيم، ولكن عند توفّر الصّحة حيث تتحقّق فوائدهما، أما أداؤهما عند المرض غير جائز، هذا حكم الحقّ جلّ جلاله من قبل ومن بعد، طوبى للس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امعين والسّامعات، والعاملين والعاملات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الحمد لله منزل الآيات ومظهر البيّنات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93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firstLine="19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فصّلت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تفضّل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بقوله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للصّوم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عظيم،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ولكن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توفّر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الصّحة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حيث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تتحقّق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فوائدهما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أداؤهما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المرض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فغير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جائز</w:t>
      </w:r>
      <w:r>
        <w:rPr>
          <w:rFonts w:cs="Traditional Arabic" w:ascii="Traditional Arabic" w:hAnsi="Traditional Arabic"/>
          <w:sz w:val="28"/>
          <w:szCs w:val="28"/>
          <w:rtl w:val="true"/>
        </w:rPr>
        <w:t>"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93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ابتداء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74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إجابة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الموضوع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وأعفيت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فئات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أخرى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والأوامر،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رابعا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وللمزيد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التّفصيل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 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30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."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أعفى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المرضى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والمسنّين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والحوائض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والحوامل،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والمرضعات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الأشخاص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يزاولون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يراعوا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احتراما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لحكم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ولمقام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الصّوم،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القناعة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والسّتر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الأيّام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أحبّ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وأولى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76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199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يعفى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المشتغلون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