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کسانی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از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صوم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معافند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نفوسی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سنّشان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متجاوز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هفتاد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سال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فرض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من أوّل البلوغ أمرا من لدى الله ربّكم 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ئكم الأوّلين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كان في نفسه ضعف من المرض أو الهرم عفا الله عنه فضلا من عنده إنّه لهو الغفور 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اعراب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اقصی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الکبر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تجاوز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صحّت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فضلش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تکسّر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٩٣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تجاوز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fa-IR"/>
        </w:rPr>
        <w:t>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٧٤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مبتلا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مطلقاً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عفو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اعطاء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تلخيص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تدوين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اطّلاعات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٢٠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14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کسانی که از صوم معافند عبارتند از بيماران ، سالخوردگان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زنان در ايّام عادت ماهيانه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مسافران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زنان باردار و زنان مرضع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معافيت شامل کسانی که به اشغال شاقّه اشتغال دارند نيز می گردد ولی به آنان توصيه شده که در آن ايّام قناعت و ستر لاجل احترام حکم اللّه و مقام صوم اولی و احب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حضرت وليّ امراللّه فرموده‌اند که بيت العدل اعظم نوع کارهائی را که مشمول معافيت از صوم می شود تعيين خواهند 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روزه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صوم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