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ar-JO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ar-JO"/>
        </w:rPr>
        <w:t>أُعفي من الصّوم</w:t>
      </w:r>
      <w:r>
        <w:rPr>
          <w:rFonts w:cs="Traditional Arabic" w:ascii="Traditional Arabic" w:hAnsi="Traditional Arabic"/>
          <w:b/>
          <w:bCs/>
          <w:sz w:val="56"/>
          <w:szCs w:val="56"/>
          <w:highlight w:val="yellow"/>
          <w:rtl w:val="true"/>
          <w:lang w:bidi="ar-JO"/>
        </w:rPr>
        <w:t>: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بأعمال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شاقّة،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على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يُراعوا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السّتر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والقناعة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احتراماً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ومقام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ar-JO"/>
        </w:rPr>
        <w:t>الصّوم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بخصوص صوم من يؤدّون أعمالا شاق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هم معفون من الصّوم، ولكن احتراما لحكم الله ولمقام الصّوم، القناعة والسّتر في تلك الأيّام أحبّ 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المرضى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والمسنّين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والحوائض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والحوامل،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والمرضعات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الأشخاص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يزاولون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أيضا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يراعوا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احتراما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لحكم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ولمقام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الصّوم،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القناعة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والسّتر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أحبّ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وأولى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76</w:t>
      </w:r>
      <w:r>
        <w:rPr>
          <w:rFonts w:cs="Traditional Arabic" w:ascii="Traditional Arabic" w:hAnsi="Traditional Arabic"/>
          <w:sz w:val="28"/>
          <w:szCs w:val="28"/>
          <w:rtl w:val="true"/>
        </w:rPr>
        <w:t>).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الشّاقة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يعفى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المشتغلون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