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حمل ریاضات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صفّ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النّعال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طلبًا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لصدر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الجلال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الغافل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الغرّار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ومنهم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يدّعي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أيّها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الكذّاب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القشور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تركناها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تُتْرَك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العظام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للكلاب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يغسل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أرجل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ويعبد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الأدغال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والشّواجن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والجبال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والقِنان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والشّناخيب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وعند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حجر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وشجر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وَمَدَرٍ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يتضوّع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رضآئي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أبدا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مولى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الأنام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اعتزل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جزآئر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الهند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أحلّه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وحمل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الرّياضات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والمشقّات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الآيات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الرّهبان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تعتکفوا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الکنائس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والمعابد 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اخرجوا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بإدني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تنتفع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 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اعتکفوا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 الإعتکاف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 ينتفع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الأکوان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 للنّار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يعظکم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 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ناپلئون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القسّيس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والرّهبان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أحلّه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 تجنبوا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اللّحوم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أذن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أکلها 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کلمة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 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 انزواء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شاقّه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ناظرند باسبابی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مغارهای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بقبور متوجّه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ناصح امين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تحرموا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لکم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بشارت هشتم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اعمال حضرات رهبه و خوریهای ملّت حضرت روح علیه سلام الله وبهاؤه عند الله مذکور ولکن الیوم باید از انزوا قصد فضا نمایند و بما ینفعهم و ینتفع به العباد مشغول گردند و کلّ را أذن تزویج عنایت فرمودیم لیظهر منهم من یذکر الله رب ما یری و ما لا یری ربّ الکرسیّ الرفیع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>بشارات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عزلت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 الحقّ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التّحيّة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غذاهای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 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خوردن وخوابيدن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وتماشا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کلوا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محاضرات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اعراف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 لذائذ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قلّت 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 کمتر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عارضی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عودت 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مرزوق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 شدن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آفريده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بنيه 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 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اژدرهاست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تعديل 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 اينستکه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 بعالم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بکسی 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مشغوليّت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 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غنا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 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 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همشيره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انزوا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 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ص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SA"/>
        </w:rPr>
        <w:t>٢١٩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ج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SA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بدائع 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شرق چنين مرسوم بوده که مردم قبل از ورود در مجامع کفشهای خود را از پا بيرون می آوردند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دورترين نقطه از مدخل، يعنی صدر مجلس ، محلّ جلوس محترمترين نفوس قرار می گرفت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اشخاص به اقتضای شأن و مقام به ترتيب از صدر مجلس تا در ورودی می نشستند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آن کس که مقامش کمتر از همه بود جايش نزديک کفش کن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آيه اشاره است به کسانی که مدّعی علم باطن هستند و تعلّق شديدشان به چنين علومی آنها را از شناسائی مظهر الهی ممنوع می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جای ديگر جمال مبارک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نفوسی که به اوهام خود معتکف شده‌اند و اسم آن را باطن گذاشته‌اند فی الحقيقه عبده اصنامند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آيات بر تحريم رهبانيّت و رياضت دلالت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رجوع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کلمات فردوسيّه جمال اقدس ابهی در توضيح اين مطلب چنين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انزوا و رياضات شاقّه به عزّ قبول فائز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صاحبان بصر و خرد ناظرند به اسبابی که سبب روح و ريحان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هيکل اقدس به کسانی که در مغارهای جبال ساکن و آنان که در ليالی به قبور متوجّه امر می فرمايند که اين امور را بگذارند و خود را از مواهبی که حقّ در اين جهان برای ايشان خلق فرموده محروم نسازند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در لوح مبارک بشارات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اعمال حضرات رهبه و خوريهای ملّت حضرت روح عليه سلام اللّه و بهائه عنداللّه مذکور ولکن اليوم بايد از انزوا قصد فضا نمايند و بما ينفعهم و ينتفع به العباد مشغول گردند و کل را اذن تزويج عنايت فرموديم ليظهر منهم من يذکر 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raditional Arabic" w:hAnsi="Traditional Arabic" w:cs="Traditional Arabic"/>
        <w:sz w:val="28"/>
        <w:szCs w:val="28"/>
        <w:lang w:bidi="fa-IR"/>
      </w:rPr>
    </w:pPr>
    <w:r>
      <w:rPr>
        <w:rFonts w:cs="Traditional Arabic" w:ascii="Traditional Arabic" w:hAnsi="Traditional Arabic"/>
        <w:sz w:val="28"/>
        <w:szCs w:val="28"/>
        <w:lang w:bidi="fa-IR"/>
      </w:rPr>
      <w:tab/>
      <w:tab/>
    </w:r>
    <w:r>
      <w:rPr>
        <w:rFonts w:ascii="Traditional Arabic" w:hAnsi="Traditional Arabic" w:cs="Traditional Arabic"/>
        <w:sz w:val="28"/>
        <w:sz w:val="28"/>
        <w:szCs w:val="28"/>
        <w:rtl w:val="true"/>
        <w:lang w:bidi="fa-IR"/>
      </w:rPr>
      <w:t>نهی از حمل ریاضات</w:t>
    </w:r>
    <w:r>
      <w:rPr>
        <w:rFonts w:ascii="Traditional Arabic" w:hAnsi="Traditional Arabic" w:cs="Traditional Arabic"/>
        <w:sz w:val="28"/>
        <w:sz w:val="28"/>
        <w:szCs w:val="28"/>
        <w:lang w:bidi="fa-IR"/>
      </w:rPr>
      <w:t xml:space="preserve"> </w:t>
    </w:r>
    <w:r>
      <w:rPr>
        <w:rFonts w:cs="Traditional Arabic" w:ascii="Traditional Arabic" w:hAnsi="Traditional Arabic"/>
        <w:sz w:val="28"/>
        <w:szCs w:val="28"/>
        <w:lang w:bidi="fa-IR"/>
      </w:rPr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