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الطّرفيْن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خاصّة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تُعرب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رضاهما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أراده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tabs>
          <w:tab w:val="left" w:pos="422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آيتي الزّواج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للرّجال إنّا کُلٌّ للهِ راضُون</w:t>
      </w:r>
      <w:r>
        <w:rPr>
          <w:rFonts w:cs="Traditional Arabic" w:ascii="Traditional Arabic" w:hAnsi="Traditional Arabic"/>
          <w:sz w:val="28"/>
          <w:szCs w:val="28"/>
          <w:rtl w:val="true"/>
        </w:rPr>
        <w:t>".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للنّسآء إنّا کُلٌّ للهِ راضيات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