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يجوز</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الزّواج</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غير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البهائيّين</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حضرة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ثمّ انظروا ما نزّل في مقام آخر لعلّ تدعون ما عندكم مقبلين إلى الله رب</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العالمين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قال لا يحلّ الاقتران إن لم يكن في البيان وإن يدخل من أحد يحرم على الآخر ما يملك من عنده إلّا وأن يرجع ذلك بعد أن يرفع أمر من نظهره بالحقّ أو ما قد ظهر بالعدل وقبل ذلك فلتقربنّ لعلّكم بذلك أمر الله ترفعون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الفقرة </w:t>
      </w:r>
      <w:r>
        <w:rPr>
          <w:rFonts w:cs="Traditional Arabic" w:ascii="Traditional Arabic" w:hAnsi="Traditional Arabic"/>
          <w:color w:val="FF0000"/>
          <w:sz w:val="28"/>
          <w:szCs w:val="28"/>
        </w:rPr>
        <w:t>139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هل يجوز الاقتران بغير البهائيّين؟</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pacing w:val="-4"/>
          <w:sz w:val="28"/>
          <w:sz w:val="28"/>
          <w:szCs w:val="28"/>
          <w:rtl w:val="true"/>
        </w:rPr>
        <w:t>الأخذ والعطاء كلاهما جائز، هذا ما حكم به الله إذ استوى على عرش الفضل والكرم</w:t>
      </w:r>
      <w:r>
        <w:rPr>
          <w:rFonts w:cs="Traditional Arabic" w:ascii="Traditional Arabic" w:hAnsi="Traditional Arabic"/>
          <w:spacing w:val="-4"/>
          <w:sz w:val="28"/>
          <w:szCs w:val="28"/>
          <w:rtl w:val="true"/>
        </w:rPr>
        <w:t>.</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84</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629"/>
        <w:jc w:val="left"/>
        <w:rPr>
          <w:rFonts w:ascii="Traditional Arabic" w:hAnsi="Traditional Arabic" w:cs="Traditional Arabic"/>
          <w:sz w:val="28"/>
          <w:szCs w:val="28"/>
          <w:lang w:bidi="ar-JO"/>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استشهد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تذكّر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بقرب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مجيء</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يظهره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فموجبها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أجّل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صراحة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تطبيق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يمنع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البابيّ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الزّواج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وتحريم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يؤمن،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ظهور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يظهره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أبطل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البدء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تطبيقهما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وقصد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الاستشهاد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الاستدلال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تنبّأ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ثنايا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بإمكان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ارتفاع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انتشار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شريعته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هو</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left"/>
        <w:rPr>
          <w:rFonts w:ascii="Traditional Arabic" w:hAnsi="Traditional Arabic" w:cs="Traditional Arabic"/>
          <w:sz w:val="28"/>
          <w:szCs w:val="28"/>
          <w:lang w:bidi="ar-JO"/>
        </w:rPr>
      </w:pPr>
      <w:r>
        <w:rPr>
          <w:rFonts w:eastAsia="Traditional Arabic"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وأبرز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Pr>
        <w:t>God Passes By</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القرن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البديع</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مغزى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left"/>
        <w:rPr/>
      </w:pP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يجب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يعتبر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تمجيدا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للموعود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وثناء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عليه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قبل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أحكاما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وتكاليف</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أريد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قواعد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دائمة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تستهدي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الأجيال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القادمة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b/>
          <w:b/>
          <w:bCs/>
          <w:sz w:val="28"/>
          <w:sz w:val="28"/>
          <w:szCs w:val="28"/>
          <w:rtl w:val="true"/>
        </w:rPr>
        <w:t>كان هذا الكتاب شديدا صارما – عن عمد – فيما فرض من الأحكام، داعيا إلى التّقدّم والتّطوّر فيما أدخله من مبادئ كان الهدف منها أن توقظ رجال الدّين والنّاس من سباتهم الرّوحيّ المديد، وتكيل للمنظّمات البالية الفاسدة ضربة مباغتة قاضية، فقد أعلن في ثنايا موادّه الشّديدة حلول اليوم المنتظر</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يوم يدع الدّاع إلى شيء نكر</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rPr>
        <w:t xml:space="preserve">ويوم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ويصنع ما صنع رسول الله، ويهدم ما كان قبله كما هدم رسول الله أمر الجاهليّة</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w:t>
      </w:r>
      <w:r>
        <w:rPr>
          <w:rFonts w:cs="Traditional Arabic" w:ascii="Traditional Arabic" w:hAnsi="Traditional Arabic"/>
          <w:sz w:val="28"/>
          <w:szCs w:val="28"/>
          <w:rtl w:val="true"/>
        </w:rPr>
        <w:tab/>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158</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455" w:hanging="0"/>
      <w:jc w:val="right"/>
      <w:rPr>
        <w:rFonts w:ascii="Traditional Arabic" w:hAnsi="Traditional Arabic" w:cs="Traditional Arabic"/>
        <w:color w:val="000000"/>
        <w:sz w:val="24"/>
        <w:szCs w:val="24"/>
      </w:rPr>
    </w:pPr>
    <w:r>
      <w:rPr>
        <w:rFonts w:cs="Traditional Arabic" w:ascii="Traditional Arabic" w:hAnsi="Traditional Arabic"/>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