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مهريّه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تحقّق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معلّق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اقتناع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دفعة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ضلع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هجرت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چگونه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مطابق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موارد عمده مربوط به پرداخت مهريّه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قسمت د ،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</w:rPr>
        <w:t>٥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خلاصه شده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مهريّه و جزئيّات آن در کتاب مبارک بيان نازل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مهريّه بايد از طرف داماد به عروس پرداخت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ميزان آن برای اهل مدن نوزده مثقال طلای خالص و برای اهل قری نوزده مثقال نقره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٩٤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می فرمايند که اگر در هنگام عقد داماد قادر نباشد که مهريّه را تماماً به عروس ادا کند ، مأذون است قبض مجلس رد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٣٩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 ظهور جمال مبارک بسياری از عقايد و آداب و رسوم متداوله من جمله مسئله مهريّه تغيير يافته و معانی جديدی به خود گرفته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پرداخت مهريّه از عادات کهنه در بين بسياری از جوامع و فرهنگها است که به اطوار مختلفه اجرا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ممالک مهريّه از طرف پدر و مادر عروس به داماد پرداخت می گردد ، در بعضی ممالک ديگر مهريّه را داماد به پدر و مادر عروس می پردازد ، که آنرا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شير بها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می گويند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هر دو حال مبلغ پرداختی معمولاً معتنابه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جمال قدم اين رسوم متنوّعه را از ميان برداشته و مهريّه را به عنوان رمزی يعنی هديه‌ای با ارزش محدود و معيّن مقرّر فرموده که از طرف داماد به عروس تسليم ميگردد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اعتبار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توطّن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پاسخ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ممضی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رفاهيّت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مدارا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عواملی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پرداخت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اندک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توصيه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تفرّعاتی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