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56"/>
          <w:szCs w:val="56"/>
          <w:lang w:bidi="fa-IR"/>
        </w:rPr>
      </w:pPr>
      <w:r>
        <w:rPr>
          <w:rFonts w:ascii="Traditional Arabic" w:hAnsi="Traditional Arabic" w:cs="Traditional Arabic"/>
          <w:b/>
          <w:b/>
          <w:bCs/>
          <w:sz w:val="56"/>
          <w:sz w:val="56"/>
          <w:szCs w:val="56"/>
          <w:highlight w:val="yellow"/>
          <w:rtl w:val="true"/>
          <w:lang w:bidi="fa-IR"/>
        </w:rPr>
        <w:t>المهر</w:t>
      </w:r>
      <w:r>
        <w:rPr>
          <w:rFonts w:cs="Traditional Arabic" w:ascii="Traditional Arabic" w:hAnsi="Traditional Arabic"/>
          <w:b/>
          <w:bCs/>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شُرِط الزّواج بدفع المهر</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حضرة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pacing w:val="-4"/>
          <w:sz w:val="28"/>
          <w:szCs w:val="28"/>
        </w:rPr>
        <w:t>1</w:t>
      </w:r>
      <w:r>
        <w:rPr>
          <w:rFonts w:cs="Traditional Arabic" w:ascii="Traditional Arabic" w:hAnsi="Traditional Arabic"/>
          <w:spacing w:val="-4"/>
          <w:sz w:val="28"/>
          <w:szCs w:val="28"/>
          <w:rtl w:val="true"/>
        </w:rPr>
        <w:t xml:space="preserve"> – " </w:t>
      </w:r>
      <w:r>
        <w:rPr>
          <w:rFonts w:ascii="Traditional Arabic" w:hAnsi="Traditional Arabic" w:cs="Traditional Arabic"/>
          <w:spacing w:val="-4"/>
          <w:sz w:val="28"/>
          <w:sz w:val="28"/>
          <w:szCs w:val="28"/>
          <w:rtl w:val="true"/>
        </w:rPr>
        <w:t xml:space="preserve">لا يحقّق الصّهار إلاّ بالأمهار قد قدّر للمدن تسعة عشر مثقالا من الذّهب الإبريز وللقرى من الفضّة ومن أراد الزّيادة حرّم عليه أن يتجاوز عن خمسة وتسعين مثقالا كذلك كان الأمر بالعزّ مسطورا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والّذي اقتنع بالد</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رجة الأولى خير له في الكتاب إنّه يغني من يشآء بأسباب السّموات والأرض وكان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rPr>
        <w:t xml:space="preserve">الله على كلّ شيء قديرا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الكتاب الأقدس – الفقرة </w:t>
      </w:r>
      <w:r>
        <w:rPr>
          <w:rFonts w:cs="Traditional Arabic" w:ascii="Traditional Arabic" w:hAnsi="Traditional Arabic"/>
          <w:color w:val="FF0000"/>
          <w:spacing w:val="-4"/>
          <w:sz w:val="28"/>
          <w:szCs w:val="28"/>
        </w:rPr>
        <w:t>66</w:t>
      </w:r>
      <w:r>
        <w:rPr>
          <w:rFonts w:cs="Traditional Arabic" w:ascii="Traditional Arabic" w:hAnsi="Traditional Arabic"/>
          <w:color w:val="FF0000"/>
          <w:spacing w:val="-4"/>
          <w:sz w:val="28"/>
          <w:szCs w:val="28"/>
          <w:rtl w:val="true"/>
        </w:rPr>
        <w:t>)</w:t>
      </w:r>
      <w:r>
        <w:rPr>
          <w:rFonts w:cs="Traditional Arabic" w:ascii="Traditional Arabic" w:hAnsi="Traditional Arabic"/>
          <w:spacing w:val="-4"/>
          <w:sz w:val="28"/>
          <w:szCs w:val="28"/>
          <w:rtl w:val="true"/>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المهر</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المقصود من الاقتناع بالدّرجة الأولى في المهر هو تسعة عشر مثقالا من الفضّة</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26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ما حكم المهر إذا لم يكن نقدا مسلّما دفعة واحدة، وكان في صورة التزام سندي مسلّم في مجلس العقد، على أن يكون الوفاء به عند الاستطاعة؟</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أذن مصدر الأمر بذلك</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39</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مهر أهل القرى المعيّن بالفضّة، هل يكون الاعتبار لموطن الزّوج أم الزّوجة أم كليهما؟ وما الحكم في حالة اختلاف موطنهما، فكان أحدهما من أهل المدن والآخر من أهل القرى؟</w:t>
      </w:r>
    </w:p>
    <w:p>
      <w:pPr>
        <w:pStyle w:val="PlainText"/>
        <w:bidi w:val="1"/>
        <w:ind w:left="0" w:right="0" w:hanging="0"/>
        <w:jc w:val="left"/>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يتعيّن المهر وفقا لموطن الزّوج، إن كان من أهل المدن فالمهر من الذّهب، وإن كان من أهل القرى فالمهر من الفضّة</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ما المقياس لتحديد ما إذا كان الشّخص حضريا أم قرويا؟ وإذا هاجر حضريّ إلى القرية أو هاجر قرويّ إلى المدينة بقصد التّوطّن فما حكمه؟ أم أنّ العبرة بمحلّ الميلاد؟</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العبرة بالتّوطّن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وأينما كان الوطن يعمل بحكم الكتاب</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88</w:t>
      </w:r>
      <w:r>
        <w:rPr>
          <w:rFonts w:cs="Traditional Arabic" w:ascii="Traditional Arabic" w:hAnsi="Traditional Arabic"/>
          <w:color w:val="FF0000"/>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pacing w:val="-2"/>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pacing w:val="-2"/>
          <w:sz w:val="28"/>
          <w:sz w:val="28"/>
          <w:szCs w:val="28"/>
          <w:rtl w:val="true"/>
          <w:lang w:bidi="ar-JO"/>
        </w:rPr>
        <w:t>أوجزت</w:t>
      </w:r>
      <w:r>
        <w:rPr>
          <w:rFonts w:ascii="Traditional Arabic" w:hAnsi="Traditional Arabic" w:cs="Traditional Arabic"/>
          <w:spacing w:val="-2"/>
          <w:sz w:val="28"/>
          <w:sz w:val="28"/>
          <w:szCs w:val="28"/>
          <w:rtl w:val="true"/>
        </w:rPr>
        <w:t xml:space="preserve"> </w:t>
      </w:r>
      <w:r>
        <w:rPr>
          <w:rFonts w:cs="Traditional Arabic" w:ascii="Traditional Arabic" w:hAnsi="Traditional Arabic"/>
          <w:spacing w:val="-2"/>
          <w:sz w:val="28"/>
          <w:szCs w:val="28"/>
          <w:rtl w:val="true"/>
        </w:rPr>
        <w:t>"</w:t>
      </w:r>
      <w:r>
        <w:rPr>
          <w:rFonts w:ascii="Traditional Arabic" w:hAnsi="Traditional Arabic" w:cs="Traditional Arabic"/>
          <w:spacing w:val="-2"/>
          <w:sz w:val="28"/>
          <w:sz w:val="28"/>
          <w:szCs w:val="28"/>
          <w:rtl w:val="true"/>
          <w:lang w:bidi="ar-JO"/>
        </w:rPr>
        <w:t>خلاصة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أحكام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الكتاب</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الأقدس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وأوامره</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أحكام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cs="Traditional Arabic" w:ascii="Traditional Arabic" w:hAnsi="Traditional Arabic"/>
          <w:spacing w:val="-2"/>
          <w:sz w:val="28"/>
          <w:szCs w:val="28"/>
          <w:rtl w:val="true"/>
        </w:rPr>
        <w:t>(</w:t>
      </w:r>
      <w:r>
        <w:rPr>
          <w:rFonts w:ascii="Traditional Arabic" w:hAnsi="Traditional Arabic" w:cs="Traditional Arabic"/>
          <w:spacing w:val="-2"/>
          <w:sz w:val="28"/>
          <w:sz w:val="28"/>
          <w:szCs w:val="28"/>
          <w:rtl w:val="true"/>
          <w:lang w:bidi="ar-JO"/>
        </w:rPr>
        <w:t>انظر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خلاصة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الأحكام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والأوامر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رابعا</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ج</w:t>
      </w:r>
      <w:r>
        <w:rPr>
          <w:rFonts w:cs="Traditional Arabic" w:ascii="Traditional Arabic" w:hAnsi="Traditional Arabic"/>
          <w:spacing w:val="-2"/>
          <w:sz w:val="28"/>
          <w:szCs w:val="28"/>
          <w:rtl w:val="true"/>
        </w:rPr>
        <w:t xml:space="preserve">: </w:t>
      </w:r>
      <w:r>
        <w:rPr>
          <w:rFonts w:cs="Traditional Arabic" w:ascii="Traditional Arabic" w:hAnsi="Traditional Arabic"/>
          <w:spacing w:val="-2"/>
          <w:sz w:val="28"/>
          <w:szCs w:val="28"/>
        </w:rPr>
        <w:t>1</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ي</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وأصولها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كتاب</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البيان</w:t>
      </w:r>
      <w:r>
        <w:rPr>
          <w:rFonts w:cs="Traditional Arabic" w:ascii="Traditional Arabic" w:hAnsi="Traditional Arabic"/>
          <w:spacing w:val="-2"/>
          <w:sz w:val="28"/>
          <w:szCs w:val="28"/>
          <w:rtl w:val="true"/>
        </w:rPr>
        <w:t>.</w:t>
      </w:r>
    </w:p>
    <w:p>
      <w:pPr>
        <w:pStyle w:val="Normal"/>
        <w:bidi w:val="1"/>
        <w:ind w:left="0" w:right="0" w:hanging="539"/>
        <w:jc w:val="left"/>
        <w:rPr>
          <w:rFonts w:ascii="Traditional Arabic" w:hAnsi="Traditional Arabic" w:cs="Traditional Arabic"/>
          <w:spacing w:val="-2"/>
          <w:sz w:val="28"/>
          <w:szCs w:val="28"/>
          <w:lang w:bidi="ar-JO"/>
        </w:rPr>
      </w:pPr>
      <w:r>
        <w:rPr>
          <w:rFonts w:cs="Traditional Arabic" w:ascii="Traditional Arabic" w:hAnsi="Traditional Arabic"/>
          <w:spacing w:val="-2"/>
          <w:sz w:val="28"/>
          <w:szCs w:val="28"/>
          <w:rtl w:val="true"/>
          <w:lang w:bidi="ar-JO"/>
        </w:rPr>
      </w:r>
    </w:p>
    <w:p>
      <w:pPr>
        <w:pStyle w:val="Normal"/>
        <w:bidi w:val="1"/>
        <w:ind w:left="0" w:right="0" w:hanging="539"/>
        <w:jc w:val="left"/>
        <w:rPr>
          <w:rFonts w:ascii="Traditional Arabic" w:hAnsi="Traditional Arabic" w:cs="Traditional Arabic"/>
          <w:spacing w:val="-2"/>
          <w:sz w:val="28"/>
          <w:szCs w:val="28"/>
          <w:lang w:bidi="ar-JO"/>
        </w:rPr>
      </w:pPr>
      <w:r>
        <w:rPr>
          <w:rFonts w:cs="Traditional Arabic" w:ascii="Traditional Arabic" w:hAnsi="Traditional Arabic"/>
          <w:spacing w:val="-2"/>
          <w:sz w:val="28"/>
          <w:szCs w:val="28"/>
          <w:rtl w:val="true"/>
        </w:rPr>
        <w:tab/>
      </w:r>
      <w:r>
        <w:rPr>
          <w:rFonts w:cs="Traditional Arabic" w:ascii="Traditional Arabic" w:hAnsi="Traditional Arabic"/>
          <w:spacing w:val="-2"/>
          <w:sz w:val="28"/>
          <w:szCs w:val="28"/>
          <w:rtl w:val="true"/>
          <w:lang w:bidi="ar-JO"/>
        </w:rPr>
        <w:tab/>
      </w:r>
      <w:r>
        <w:rPr>
          <w:rFonts w:ascii="Traditional Arabic" w:hAnsi="Traditional Arabic" w:cs="Traditional Arabic"/>
          <w:spacing w:val="-2"/>
          <w:sz w:val="28"/>
          <w:sz w:val="28"/>
          <w:szCs w:val="28"/>
          <w:rtl w:val="true"/>
          <w:lang w:bidi="ar-JO"/>
        </w:rPr>
        <w:t>يدفع</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العريس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للعروس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وقدره</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تسعة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عشر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مثقالا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الذّهب</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لأهل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المدن،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ومثلها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الفضّة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لأهل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القرى</w:t>
      </w:r>
      <w:r>
        <w:rPr>
          <w:rFonts w:ascii="Traditional Arabic" w:hAnsi="Traditional Arabic" w:cs="Traditional Arabic"/>
          <w:spacing w:val="-2"/>
          <w:sz w:val="28"/>
          <w:sz w:val="28"/>
          <w:szCs w:val="28"/>
          <w:rtl w:val="true"/>
        </w:rPr>
        <w:t xml:space="preserve"> </w:t>
      </w:r>
      <w:r>
        <w:rPr>
          <w:rFonts w:cs="Traditional Arabic" w:ascii="Traditional Arabic" w:hAnsi="Traditional Arabic"/>
          <w:spacing w:val="-2"/>
          <w:sz w:val="28"/>
          <w:szCs w:val="28"/>
          <w:rtl w:val="true"/>
        </w:rPr>
        <w:t>(</w:t>
      </w:r>
      <w:r>
        <w:rPr>
          <w:rFonts w:ascii="Traditional Arabic" w:hAnsi="Traditional Arabic" w:cs="Traditional Arabic"/>
          <w:spacing w:val="-2"/>
          <w:sz w:val="28"/>
          <w:sz w:val="28"/>
          <w:szCs w:val="28"/>
          <w:rtl w:val="true"/>
          <w:lang w:bidi="ar-JO"/>
        </w:rPr>
        <w:t>انظر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الشّرح</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فقرة</w:t>
      </w:r>
      <w:r>
        <w:rPr>
          <w:rFonts w:ascii="Traditional Arabic" w:hAnsi="Traditional Arabic" w:cs="Traditional Arabic"/>
          <w:spacing w:val="-2"/>
          <w:sz w:val="28"/>
          <w:sz w:val="28"/>
          <w:szCs w:val="28"/>
          <w:rtl w:val="true"/>
        </w:rPr>
        <w:t xml:space="preserve"> </w:t>
      </w:r>
      <w:r>
        <w:rPr>
          <w:rFonts w:cs="Traditional Arabic" w:ascii="Traditional Arabic" w:hAnsi="Traditional Arabic"/>
          <w:spacing w:val="-2"/>
          <w:sz w:val="28"/>
          <w:szCs w:val="28"/>
        </w:rPr>
        <w:t>94</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وإن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تعذّر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على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الزّوج</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دفع</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كاملا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وقت</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القران،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جاز</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له</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أن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يسلّم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العروس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التزاما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سنديّا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مجلس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العقد</w:t>
      </w:r>
      <w:r>
        <w:rPr>
          <w:rFonts w:cs="Traditional Arabic" w:ascii="Traditional Arabic" w:hAnsi="Traditional Arabic"/>
          <w:spacing w:val="-2"/>
          <w:sz w:val="28"/>
          <w:szCs w:val="28"/>
          <w:rtl w:val="true"/>
        </w:rPr>
        <w:t>. (</w:t>
      </w:r>
      <w:r>
        <w:rPr>
          <w:rFonts w:ascii="Traditional Arabic" w:hAnsi="Traditional Arabic" w:cs="Traditional Arabic"/>
          <w:spacing w:val="-2"/>
          <w:sz w:val="28"/>
          <w:sz w:val="28"/>
          <w:szCs w:val="28"/>
          <w:rtl w:val="true"/>
          <w:lang w:bidi="ar-JO"/>
        </w:rPr>
        <w:t>سؤال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 xml:space="preserve">وجواب </w:t>
      </w:r>
      <w:r>
        <w:rPr>
          <w:rFonts w:cs="Traditional Arabic" w:ascii="Traditional Arabic" w:hAnsi="Traditional Arabic"/>
          <w:spacing w:val="-2"/>
          <w:sz w:val="28"/>
          <w:szCs w:val="28"/>
        </w:rPr>
        <w:t>39</w:t>
      </w:r>
      <w:r>
        <w:rPr>
          <w:rFonts w:cs="Traditional Arabic" w:ascii="Traditional Arabic" w:hAnsi="Traditional Arabic"/>
          <w:spacing w:val="-2"/>
          <w:sz w:val="28"/>
          <w:szCs w:val="28"/>
          <w:rtl w:val="true"/>
        </w:rPr>
        <w:t>)</w:t>
      </w:r>
    </w:p>
    <w:p>
      <w:pPr>
        <w:pStyle w:val="Normal"/>
        <w:bidi w:val="1"/>
        <w:ind w:left="0" w:right="0" w:hanging="0"/>
        <w:jc w:val="left"/>
        <w:rPr>
          <w:rFonts w:ascii="Traditional Arabic" w:hAnsi="Traditional Arabic" w:cs="Traditional Arabic"/>
          <w:spacing w:val="-2"/>
          <w:sz w:val="28"/>
          <w:szCs w:val="28"/>
          <w:lang w:bidi="ar-JO"/>
        </w:rPr>
      </w:pPr>
      <w:r>
        <w:rPr>
          <w:rFonts w:cs="Traditional Arabic" w:ascii="Traditional Arabic" w:hAnsi="Traditional Arabic"/>
          <w:spacing w:val="-2"/>
          <w:sz w:val="28"/>
          <w:szCs w:val="28"/>
          <w:rtl w:val="true"/>
          <w:lang w:bidi="ar-JO"/>
        </w:rPr>
      </w:r>
    </w:p>
    <w:p>
      <w:pPr>
        <w:pStyle w:val="Normal"/>
        <w:bidi w:val="1"/>
        <w:ind w:left="0" w:right="0" w:firstLine="199"/>
        <w:jc w:val="left"/>
        <w:rPr>
          <w:rFonts w:ascii="Traditional Arabic" w:hAnsi="Traditional Arabic" w:cs="Traditional Arabic"/>
          <w:spacing w:val="-2"/>
          <w:sz w:val="28"/>
          <w:szCs w:val="28"/>
        </w:rPr>
      </w:pPr>
      <w:r>
        <w:rPr>
          <w:rFonts w:ascii="Traditional Arabic" w:hAnsi="Traditional Arabic" w:cs="Traditional Arabic"/>
          <w:spacing w:val="-2"/>
          <w:sz w:val="28"/>
          <w:sz w:val="28"/>
          <w:szCs w:val="28"/>
          <w:rtl w:val="true"/>
          <w:lang w:bidi="ar-JO"/>
        </w:rPr>
        <w:t>لقد</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أعاد</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حضرة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بهاء</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الله</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تحديد</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مضمون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كثير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المفاهيم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والتّقاليد</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والنّظم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القديمة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لتأخذ</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معنى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جديدا،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ذلك</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مفهوم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فالمهر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نظام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تقليديّ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قديم</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جدا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عرف</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بيئات</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كثيرة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وأخذ</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صورا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مختلفة</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ففي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بعض</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البلاد</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يدفع</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والدا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العروس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إلى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الزّوج،</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بلاد</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أخرى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يدفع</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الزّوج</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إلى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أبويّ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العروس،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ويعرف</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اصطلاحا</w:t>
      </w:r>
      <w:r>
        <w:rPr>
          <w:rFonts w:ascii="Traditional Arabic" w:hAnsi="Traditional Arabic" w:cs="Traditional Arabic"/>
          <w:spacing w:val="-2"/>
          <w:sz w:val="28"/>
          <w:sz w:val="28"/>
          <w:szCs w:val="28"/>
          <w:rtl w:val="true"/>
        </w:rPr>
        <w:t xml:space="preserve"> </w:t>
      </w:r>
      <w:r>
        <w:rPr>
          <w:rFonts w:cs="Traditional Arabic" w:ascii="Traditional Arabic" w:hAnsi="Traditional Arabic"/>
          <w:spacing w:val="-2"/>
          <w:sz w:val="28"/>
          <w:szCs w:val="28"/>
          <w:rtl w:val="true"/>
        </w:rPr>
        <w:t>"</w:t>
      </w:r>
      <w:r>
        <w:rPr>
          <w:rFonts w:ascii="Traditional Arabic" w:hAnsi="Traditional Arabic" w:cs="Traditional Arabic"/>
          <w:spacing w:val="-2"/>
          <w:sz w:val="28"/>
          <w:sz w:val="28"/>
          <w:szCs w:val="28"/>
          <w:rtl w:val="true"/>
          <w:lang w:bidi="ar-JO"/>
        </w:rPr>
        <w:t>بأجر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العروس</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وفي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كلا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الحالين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يكون</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مقدار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باهظا</w:t>
      </w:r>
      <w:r>
        <w:rPr>
          <w:rFonts w:cs="Traditional Arabic" w:ascii="Traditional Arabic" w:hAnsi="Traditional Arabic"/>
          <w:spacing w:val="-2"/>
          <w:sz w:val="28"/>
          <w:szCs w:val="28"/>
          <w:rtl w:val="true"/>
        </w:rPr>
        <w:t xml:space="preserve">.  </w:t>
      </w:r>
      <w:r>
        <w:rPr>
          <w:rFonts w:ascii="Traditional Arabic" w:hAnsi="Traditional Arabic" w:cs="Traditional Arabic"/>
          <w:spacing w:val="-2"/>
          <w:sz w:val="28"/>
          <w:sz w:val="28"/>
          <w:szCs w:val="28"/>
          <w:rtl w:val="true"/>
          <w:lang w:bidi="ar-JO"/>
        </w:rPr>
        <w:t>أمّا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سنّه</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حضرة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بهاء</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الله</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فيزيل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كلّ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هذا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الاختلاف،</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ويحوّل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المهر</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إلى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شيء</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رمزيّ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يتمثّل</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في</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هديّة،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ذات</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قيمة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ماديّة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محدودة،</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يقدّمها</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العريس</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إلى</w:t>
      </w:r>
      <w:r>
        <w:rPr>
          <w:rFonts w:ascii="Traditional Arabic" w:hAnsi="Traditional Arabic" w:cs="Traditional Arabic"/>
          <w:spacing w:val="-2"/>
          <w:sz w:val="28"/>
          <w:sz w:val="28"/>
          <w:szCs w:val="28"/>
          <w:rtl w:val="true"/>
        </w:rPr>
        <w:t xml:space="preserve"> </w:t>
      </w:r>
      <w:r>
        <w:rPr>
          <w:rFonts w:ascii="Traditional Arabic" w:hAnsi="Traditional Arabic" w:cs="Traditional Arabic"/>
          <w:spacing w:val="-2"/>
          <w:sz w:val="28"/>
          <w:sz w:val="28"/>
          <w:szCs w:val="28"/>
          <w:rtl w:val="true"/>
          <w:lang w:bidi="ar-JO"/>
        </w:rPr>
        <w:t>عروسه</w:t>
      </w:r>
      <w:r>
        <w:rPr>
          <w:rFonts w:cs="Traditional Arabic" w:ascii="Traditional Arabic" w:hAnsi="Traditional Arabic"/>
          <w:spacing w:val="-2"/>
          <w:sz w:val="28"/>
          <w:szCs w:val="28"/>
          <w:rtl w:val="true"/>
        </w:rPr>
        <w:t>.</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93</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pacing w:val="-2"/>
          <w:sz w:val="28"/>
          <w:szCs w:val="28"/>
          <w:lang w:bidi="fa-IR"/>
        </w:rPr>
      </w:pPr>
      <w:r>
        <w:rPr>
          <w:rFonts w:cs="Traditional Arabic" w:ascii="Traditional Arabic" w:hAnsi="Traditional Arabic"/>
          <w:b/>
          <w:bCs/>
          <w:spacing w:val="-2"/>
          <w:sz w:val="28"/>
          <w:szCs w:val="28"/>
          <w:rtl w:val="true"/>
          <w:lang w:bidi="fa-IR"/>
        </w:rPr>
      </w:r>
    </w:p>
    <w:p>
      <w:pPr>
        <w:pStyle w:val="PlainText"/>
        <w:bidi w:val="1"/>
        <w:ind w:left="0" w:right="0" w:hanging="0"/>
        <w:jc w:val="both"/>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بيّن حضرة بهاء الله أنّ العبرة في تحديد المهر هي بالموطن الدّائم للزّوج، لا العروس</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94</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استفسار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فتفضّل</w:t>
      </w:r>
      <w:r>
        <w:rPr>
          <w:rFonts w:cs="Traditional Arabic" w:ascii="Traditional Arabic" w:hAnsi="Traditional Arabic"/>
          <w:sz w:val="28"/>
          <w:szCs w:val="28"/>
          <w:rtl w:val="true"/>
        </w:rPr>
        <w:t>:</w:t>
      </w:r>
    </w:p>
    <w:p>
      <w:pPr>
        <w:pStyle w:val="Normal"/>
        <w:bidi w:val="1"/>
        <w:ind w:left="0" w:right="0" w:hanging="539"/>
        <w:jc w:val="left"/>
        <w:rPr>
          <w:rFonts w:ascii="Traditional Arabic" w:hAnsi="Traditional Arabic" w:cs="Traditional Arabic"/>
          <w:b/>
          <w:b/>
          <w:bCs/>
          <w:sz w:val="28"/>
          <w:szCs w:val="28"/>
          <w:lang w:bidi="ar-JO"/>
        </w:rPr>
      </w:pP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نزّل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البيان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مجرى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وممضى</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ولكن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جاء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ذكره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الدّرجة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الأولى،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تسعة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عشر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مثقالا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الفضّة،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حدّده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البيان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لأهل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القرى</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أحبّ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قبله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الطّرفان</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القصد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راحة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ووصلة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واتّحاد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النّاس</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لذا،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كلّما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كثرت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المداراة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الأمور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أحسن</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أهل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يعاملوا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ويعاشروا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بعضهم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البعض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وصفاء</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ويوجّهوا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تفكيرهم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يحقّق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العموم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خاصّة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أحبّاء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539"/>
        <w:jc w:val="left"/>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539"/>
        <w:jc w:val="left"/>
        <w:rPr>
          <w:rFonts w:ascii="Traditional Arabic" w:hAnsi="Traditional Arabic" w:cs="Traditional Arabic"/>
          <w:sz w:val="28"/>
          <w:szCs w:val="28"/>
        </w:rPr>
      </w:pP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r>
        <w:rPr>
          <w:rFonts w:ascii="Traditional Arabic" w:hAnsi="Traditional Arabic" w:cs="Traditional Arabic"/>
          <w:sz w:val="28"/>
          <w:sz w:val="28"/>
          <w:szCs w:val="28"/>
          <w:rtl w:val="true"/>
          <w:lang w:bidi="ar-JO"/>
        </w:rPr>
        <w:t>ولخّص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قواعد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لأهل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المدن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يدفعوا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بالذّهب،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ولأهل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يدفعوه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بالفضّة</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والقدر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يتوقّف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مقدرة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فقيرا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يدفع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مقدار</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واحد</w:t>
      </w:r>
      <w:r>
        <w:rPr>
          <w:rFonts w:cs="Traditional Arabic" w:ascii="Traditional Arabic" w:hAnsi="Traditional Arabic"/>
          <w:sz w:val="28"/>
          <w:szCs w:val="28"/>
          <w:rtl w:val="true"/>
        </w:rPr>
        <w:t>"</w:t>
      </w:r>
      <w:r>
        <w:rPr>
          <w:rStyle w:val="FootnoteCharacters"/>
          <w:rStyle w:val="FootnoteAnchor"/>
          <w:rFonts w:eastAsia="Symbol" w:cs="Symbol" w:ascii="Symbol" w:hAnsi="Symbol"/>
          <w:sz w:val="28"/>
          <w:szCs w:val="28"/>
          <w:rtl w:val="true"/>
        </w:rPr>
        <w:footnoteReference w:customMarkFollows="1" w:id="2"/>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متواضع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يدفع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ضعف</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واحد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مقتدرا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فثلاثة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أضعاف</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واحد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موسرا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فأربعة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أضعاف</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واحد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وافر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فخمسة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أضعاف</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واحد</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الحقيقة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منوط</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يتّفق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والزّوجة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والأبوان،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يتّفق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إجراؤه</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ab/>
      </w:r>
      <w:r>
        <w:rPr>
          <w:rFonts w:ascii="Traditional Arabic" w:hAnsi="Traditional Arabic" w:cs="Traditional Arabic"/>
          <w:sz w:val="28"/>
          <w:sz w:val="28"/>
          <w:szCs w:val="28"/>
          <w:rtl w:val="true"/>
          <w:lang w:bidi="ar-JO"/>
        </w:rPr>
        <w:t>وأوصى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ذاته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يرجعوا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تنفيذ</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الشّارع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وأضاف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مؤكّدا</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الهيئة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منوط</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تنفيذ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الأحكام،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وتقوم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بسنّ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ذكره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95</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left"/>
        <w:rPr>
          <w:rFonts w:ascii="Traditional Arabic" w:hAnsi="Traditional Arabic" w:cs="Traditional Arabic"/>
          <w:sz w:val="28"/>
          <w:szCs w:val="36"/>
        </w:rPr>
      </w:pPr>
      <w:r>
        <w:rPr>
          <w:rFonts w:cs="Traditional Arabic" w:ascii="Traditional Arabic" w:hAnsi="Traditional Arabic"/>
          <w:sz w:val="28"/>
          <w:szCs w:val="36"/>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footnotePr>
        <w:numFmt w:val="decimal"/>
      </w:footnotePr>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Bdr/>
        <w:bidi w:val="1"/>
        <w:ind w:left="0" w:right="0" w:hanging="0"/>
        <w:jc w:val="both"/>
        <w:rPr/>
      </w:pPr>
      <w:r>
        <w:rPr>
          <w:rStyle w:val="FootnoteCharacters"/>
        </w:rPr>
        <w:footnoteRef/>
      </w:r>
      <w:r>
        <w:rPr>
          <w:rFonts w:cs="Simplified Arabic"/>
          <w:sz w:val="28"/>
          <w:szCs w:val="28"/>
          <w:rtl w:val="true"/>
        </w:rPr>
        <w:tab/>
        <w:t xml:space="preserve"> </w:t>
      </w:r>
      <w:r>
        <w:rPr>
          <w:rFonts w:cs="Simplified Arabic"/>
          <w:sz w:val="28"/>
          <w:szCs w:val="28"/>
          <w:rtl w:val="true"/>
          <w:lang w:bidi="ar-JO"/>
        </w:rPr>
        <w:t xml:space="preserve"> </w:t>
      </w:r>
      <w:r>
        <w:rPr>
          <w:rFonts w:cs="Simplified Arabic"/>
          <w:sz w:val="28"/>
          <w:sz w:val="28"/>
          <w:szCs w:val="28"/>
          <w:rtl w:val="true"/>
          <w:lang w:bidi="ar-JO"/>
        </w:rPr>
        <w:t>المقصود</w:t>
      </w:r>
      <w:r>
        <w:rPr>
          <w:sz w:val="28"/>
          <w:sz w:val="28"/>
          <w:szCs w:val="28"/>
          <w:rtl w:val="true"/>
          <w:lang w:bidi="ar-JO"/>
        </w:rPr>
        <w:t xml:space="preserve"> </w:t>
      </w:r>
      <w:r>
        <w:rPr>
          <w:rFonts w:cs="Simplified Arabic"/>
          <w:sz w:val="28"/>
          <w:sz w:val="28"/>
          <w:szCs w:val="28"/>
          <w:rtl w:val="true"/>
          <w:lang w:bidi="ar-JO"/>
        </w:rPr>
        <w:t>بالاصطلاح</w:t>
      </w:r>
      <w:r>
        <w:rPr>
          <w:sz w:val="28"/>
          <w:sz w:val="28"/>
          <w:szCs w:val="28"/>
          <w:rtl w:val="true"/>
          <w:lang w:bidi="ar-JO"/>
        </w:rPr>
        <w:t xml:space="preserve"> </w:t>
      </w:r>
      <w:r>
        <w:rPr>
          <w:rFonts w:cs="Simplified Arabic"/>
          <w:sz w:val="28"/>
          <w:szCs w:val="28"/>
          <w:rtl w:val="true"/>
          <w:lang w:bidi="ar-JO"/>
        </w:rPr>
        <w:t>"</w:t>
      </w:r>
      <w:r>
        <w:rPr>
          <w:rFonts w:cs="Simplified Arabic"/>
          <w:sz w:val="28"/>
          <w:sz w:val="28"/>
          <w:szCs w:val="28"/>
          <w:rtl w:val="true"/>
          <w:lang w:bidi="ar-JO"/>
        </w:rPr>
        <w:t>واحد</w:t>
      </w:r>
      <w:r>
        <w:rPr>
          <w:rFonts w:cs="Simplified Arabic"/>
          <w:sz w:val="28"/>
          <w:szCs w:val="28"/>
          <w:rtl w:val="true"/>
          <w:lang w:bidi="ar-JO"/>
        </w:rPr>
        <w:t xml:space="preserve">" </w:t>
      </w:r>
      <w:r>
        <w:rPr>
          <w:rFonts w:cs="Simplified Arabic"/>
          <w:sz w:val="28"/>
          <w:sz w:val="28"/>
          <w:szCs w:val="28"/>
          <w:rtl w:val="true"/>
          <w:lang w:bidi="ar-JO"/>
        </w:rPr>
        <w:t>هو</w:t>
      </w:r>
      <w:r>
        <w:rPr>
          <w:sz w:val="28"/>
          <w:sz w:val="28"/>
          <w:szCs w:val="28"/>
          <w:rtl w:val="true"/>
          <w:lang w:bidi="ar-JO"/>
        </w:rPr>
        <w:t xml:space="preserve"> </w:t>
      </w:r>
      <w:r>
        <w:rPr>
          <w:rFonts w:cs="Simplified Arabic"/>
          <w:sz w:val="28"/>
          <w:sz w:val="28"/>
          <w:szCs w:val="28"/>
          <w:rtl w:val="true"/>
          <w:lang w:bidi="ar-JO"/>
        </w:rPr>
        <w:t>وحدة</w:t>
      </w:r>
      <w:r>
        <w:rPr>
          <w:sz w:val="28"/>
          <w:sz w:val="28"/>
          <w:szCs w:val="28"/>
          <w:rtl w:val="true"/>
          <w:lang w:bidi="ar-JO"/>
        </w:rPr>
        <w:t xml:space="preserve"> </w:t>
      </w:r>
      <w:r>
        <w:rPr>
          <w:rFonts w:cs="Simplified Arabic"/>
          <w:sz w:val="28"/>
          <w:sz w:val="28"/>
          <w:szCs w:val="28"/>
          <w:rtl w:val="true"/>
          <w:lang w:bidi="ar-JO"/>
        </w:rPr>
        <w:t>الوزن</w:t>
      </w:r>
      <w:r>
        <w:rPr>
          <w:sz w:val="28"/>
          <w:sz w:val="28"/>
          <w:szCs w:val="28"/>
          <w:rtl w:val="true"/>
          <w:lang w:bidi="ar-JO"/>
        </w:rPr>
        <w:t xml:space="preserve"> </w:t>
      </w:r>
      <w:r>
        <w:rPr>
          <w:rFonts w:cs="Simplified Arabic"/>
          <w:sz w:val="28"/>
          <w:sz w:val="28"/>
          <w:szCs w:val="28"/>
          <w:rtl w:val="true"/>
          <w:lang w:bidi="ar-JO"/>
        </w:rPr>
        <w:t>وهي</w:t>
      </w:r>
      <w:r>
        <w:rPr>
          <w:sz w:val="28"/>
          <w:sz w:val="28"/>
          <w:szCs w:val="28"/>
          <w:rtl w:val="true"/>
          <w:lang w:bidi="ar-JO"/>
        </w:rPr>
        <w:t xml:space="preserve"> </w:t>
      </w:r>
      <w:r>
        <w:rPr>
          <w:rFonts w:cs="Simplified Arabic"/>
          <w:sz w:val="28"/>
          <w:sz w:val="28"/>
          <w:szCs w:val="28"/>
          <w:rtl w:val="true"/>
          <w:lang w:bidi="ar-JO"/>
        </w:rPr>
        <w:t>تساوي</w:t>
      </w:r>
      <w:r>
        <w:rPr>
          <w:sz w:val="28"/>
          <w:sz w:val="28"/>
          <w:szCs w:val="28"/>
          <w:rtl w:val="true"/>
          <w:lang w:bidi="ar-JO"/>
        </w:rPr>
        <w:t xml:space="preserve"> </w:t>
      </w:r>
      <w:r>
        <w:rPr>
          <w:rFonts w:cs="Simplified Arabic"/>
          <w:sz w:val="28"/>
          <w:sz w:val="28"/>
          <w:szCs w:val="28"/>
          <w:rtl w:val="true"/>
          <w:lang w:bidi="ar-JO"/>
        </w:rPr>
        <w:t>تسعة</w:t>
      </w:r>
      <w:r>
        <w:rPr>
          <w:sz w:val="28"/>
          <w:sz w:val="28"/>
          <w:szCs w:val="28"/>
          <w:rtl w:val="true"/>
          <w:lang w:bidi="ar-JO"/>
        </w:rPr>
        <w:t xml:space="preserve"> </w:t>
      </w:r>
      <w:r>
        <w:rPr>
          <w:rFonts w:cs="Simplified Arabic"/>
          <w:sz w:val="28"/>
          <w:sz w:val="28"/>
          <w:szCs w:val="28"/>
          <w:rtl w:val="true"/>
          <w:lang w:bidi="ar-JO"/>
        </w:rPr>
        <w:t>عشر</w:t>
      </w:r>
      <w:r>
        <w:rPr>
          <w:sz w:val="28"/>
          <w:sz w:val="28"/>
          <w:szCs w:val="28"/>
          <w:rtl w:val="true"/>
          <w:lang w:bidi="ar-JO"/>
        </w:rPr>
        <w:t xml:space="preserve"> </w:t>
      </w:r>
      <w:r>
        <w:rPr>
          <w:rFonts w:cs="Simplified Arabic"/>
          <w:sz w:val="28"/>
          <w:sz w:val="28"/>
          <w:szCs w:val="28"/>
          <w:rtl w:val="true"/>
          <w:lang w:bidi="ar-JO"/>
        </w:rPr>
        <w:t>مثقالا</w:t>
      </w:r>
      <w:r>
        <w:rPr>
          <w:rFonts w:cs="Simplified Arabic"/>
          <w:sz w:val="28"/>
          <w:szCs w:val="28"/>
          <w:rtl w:val="true"/>
          <w:lang w:bidi="ar-JO"/>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numPr>
        <w:ilvl w:val="0"/>
        <w:numId w:val="2"/>
      </w:numPr>
      <w:jc w:val="right"/>
      <w:rPr>
        <w:rFonts w:ascii="Traditional Arabic" w:hAnsi="Traditional Arabic" w:cs="Traditional Arabic"/>
        <w:sz w:val="24"/>
        <w:szCs w:val="24"/>
      </w:rPr>
    </w:pPr>
    <w:r>
      <w:rPr>
        <w:rFonts w:cs="Traditional Arabic" w:ascii="Traditional Arabic" w:hAnsi="Traditional Arabic"/>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1815" w:hanging="360"/>
      </w:pPr>
      <w:rPr>
        <w:rFonts w:ascii="Traditional Arabic" w:hAnsi="Traditional Arabic" w:cs="Traditional Arabic" w:hint="default"/>
        <w:rFonts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FootnoteCharacters">
    <w:name w:val="Footnote Characters"/>
    <w:qFormat/>
    <w:rPr>
      <w:vertAlign w:val="superscript"/>
    </w:rPr>
  </w:style>
  <w:style w:type="character" w:styleId="FootnoteTextChar">
    <w:name w:val="Footnote Text Char"/>
    <w:qFormat/>
    <w:rPr>
      <w:rFonts w:ascii="Times New Roman" w:hAnsi="Times New Roman" w:eastAsia="Times New Roman" w:cs="Times New Roman"/>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pBdr>
        <w:top w:val="dotted" w:sz="4" w:space="1" w:color="000000"/>
      </w:pBdr>
      <w:jc w:val="left"/>
    </w:pPr>
    <w:rPr>
      <w:rFonts w:ascii="Times New Roman" w:hAnsi="Times New Roman" w:eastAsia="Times New Roman" w:cs="Times New Roman"/>
      <w:sz w:val="20"/>
      <w:szCs w:val="20"/>
      <w:lang w:bidi="ar-SA"/>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