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مهريّه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ميزان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lang w:bidi="fa-IR"/>
        </w:rPr>
        <w:t>١٩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مثقال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طلای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خالص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اهل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مدن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lang w:bidi="fa-IR"/>
        </w:rPr>
        <w:t>١٩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مثقال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نقره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اهل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قری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حسب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محلّ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سکونت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دائمی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لا يحقّق الصّهار إلاّ بالأمهار قد قدّر للمدن تسعة عشر مثقالا من الذّهب الإبريز وللقرى من الفض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ة ومن أراد الزّيادة حرّم عليه أن يتجاوز عن خمسة وتسعين مثقالا كذلك كان الأمر بالعزّ مسطورا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والّذي اقتنع بالد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رجة الأولى خير له في الكتاب إنّه يغني من يشآء بأسباب السّموات والأرض وكان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الله على كلّ شيء قديرا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66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اقتناع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مثقال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26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دفعة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مجلس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امکان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ضلع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چگونه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اذن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مصدر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39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فضّه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اعتبار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کرد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اعتبار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فضّه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87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4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ميزان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دهاتی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هجرت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دهاتی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هجرت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توطّن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چگونه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کذلک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تولّد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ميزان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ميزان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توطّن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وطن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مطابق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رفتار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88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موارد عمده مربوط به پرداخت مهريّه در جزوه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تلخيص و تدوين حدود و احکام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قسمت د ، 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١٠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تا </w:t>
      </w:r>
      <w:r>
        <w:rPr>
          <w:rFonts w:ascii="Traditional Arabic" w:hAnsi="Traditional Arabic" w:cs="Traditional Arabic"/>
          <w:sz w:val="28"/>
          <w:sz w:val="28"/>
          <w:szCs w:val="28"/>
        </w:rPr>
        <w:t>٥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١٠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خلاصه شده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حکم مهريّه و جزئيّات آن در کتاب مبارک بيان نازل شده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مهريّه بايد از طرف داماد به عروس پرداخت گردد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ميزان آن برای اهل مدن نوزده مثقال طلای خالص و برای اهل قری نوزده مثقال نقره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٩٤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می فرمايند که اگر در هنگام عقد داماد قادر نباشد که مهريّه را تماماً به عروس ادا کند ، مأذون است قبض مجلس رد نمايد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</w:rPr>
        <w:t>٣٩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با ظهور جمال مبارک بسياری از عقايد و آداب و رسوم متداوله من جمله مسئله مهريّه تغيير يافته و معانی جديدی به خود گرفته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پرداخت مهريّه از عادات کهنه در بين بسياری از جوامع و فرهنگها است که به اطوار مختلفه اجرا می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بعضی ممالک مهريّه از طرف پدر و مادر عروس به داماد پرداخت می گردد ، در بعضی ممالک ديگر مهريّه را داماد به پدر و مادر عروس می پردازد ، که آنرا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شير بها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می گويند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هر دو حال مبلغ پرداختی معمولاً معتنابه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حکم جمال قدم اين رسوم متنوّعه را از ميان برداشته و مهريّه را به عنوان رمزی يعنی هديه‌ای با ارزش محدود و معيّن مقرّر فرموده که از طرف داماد به عروس تسليم ميگردد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ميزان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اعتبار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توطّن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٨٧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٨٨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94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پاسخ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ممضی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مثقال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طرفين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رفاهيّت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وصلت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مدارا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محبّت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معامله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معاشرت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منافع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خاصّةً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دوستان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لوحی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اختصار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بعضی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عواملی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ميزان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منظور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مذکور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پرداخت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مثقال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چنانچه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بدهند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فضّه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بسته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اقتدار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اندک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سرمايه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نهايت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ثروت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پنج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الحقيقه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بسته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اتّفاق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اتّفاق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توصيه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اسئله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اجرای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ارجاع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چنانچه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الحقيقه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عمومی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شارع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تفرّعاتی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مصرّح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تشريع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95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ازدواج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