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المهر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تحدّد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بمقدار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١٩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مثقالاً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الذّهب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الخالص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لأهل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المدن،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lang w:bidi="fa-IR"/>
        </w:rPr>
        <w:t>١٩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مثقالاً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الفضّة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لأهل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القرى،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والعبرة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بالموطن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الدّائم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للزّوج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الزّوجة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لا يحقّق الصّهار إلاّ بالأمهار قد قدّر للمدن تسعة عشر مثقالا من الذّهب الإبريز وللقرى من الفض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ة ومن أراد الزّيادة حرّم عليه أن يتجاوز عن خمسة وتسعين مثقالا كذلك كان الأمر بالعزّ مسطورا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 اقتنع بالد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رجة الأولى خير له في الكتاب إنّه يغني من يشآء بأسباب السّموات والأرض وكان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الله على كلّ شيء قديرا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66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المهر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المقصود من الاقتناع بالدّرجة الأولى في المهر هو تسعة عشر مثقالا من الفضّة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ما حكم المهر إذا لم يكن نقدا مسلّما دفعة واحدة، وكان في صورة التزام سندي مسلّم في مجلس العقد، على أن يكون الوفاء به عند الاستطاعة؟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أذن مصدر الأمر بذلك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مهر أهل القرى المعيّن بالفضّة، هل يكون الاعتبار لموطن الزّوج أم الزّوجة أم كليهما؟ وما الحكم في حالة اختلاف موطنهما، فكان أحدهما من أهل المدن والآخر من أهل القرى؟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يتعيّن المهر وفقا لموطن الزّوج، إن كان من أهل المدن فالمهر من الذّهب، وإن كان من أهل القرى فالمهر من الفضّة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ما المقياس لتحديد ما إذا كان الشّخص حضريا أم قرويا؟ وإذا هاجر حضريّ إلى القرية أو هاجر قرويّ إلى المدينة بقصد التّوطّن فما حكمه؟ أم أنّ العبرة بمحلّ الميلاد؟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العبرة بالتّوطّن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وأينما كان الوطن يعمل بحكم الكتاب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pacing w:val="-2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أوجزت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وأوامره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والأوامر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: </w:t>
      </w:r>
      <w:r>
        <w:rPr>
          <w:rFonts w:cs="Traditional Arabic" w:ascii="Traditional Arabic" w:hAnsi="Traditional Arabic"/>
          <w:spacing w:val="-2"/>
          <w:sz w:val="28"/>
          <w:szCs w:val="28"/>
        </w:rPr>
        <w:t>1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وأصولها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البيان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pacing w:val="-2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يدفع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العريس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للعروس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وقدره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مثقالا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الذّهب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لأهل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المدن،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ومثلها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الفضّة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لأهل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القرى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</w:rPr>
        <w:t>94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تعذّر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الزّوج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دفع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كاملا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القران،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جاز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يسلّم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العروس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التزاما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سنديّا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مجلس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العقد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 xml:space="preserve">وجواب </w:t>
      </w:r>
      <w:r>
        <w:rPr>
          <w:rFonts w:cs="Traditional Arabic" w:ascii="Traditional Arabic" w:hAnsi="Traditional Arabic"/>
          <w:spacing w:val="-2"/>
          <w:sz w:val="28"/>
          <w:szCs w:val="28"/>
        </w:rPr>
        <w:t>39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pacing w:val="-2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2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720"/>
        <w:jc w:val="left"/>
        <w:rPr>
          <w:rFonts w:ascii="Traditional Arabic" w:hAnsi="Traditional Arabic" w:cs="Traditional Arabic"/>
          <w:spacing w:val="-2"/>
          <w:sz w:val="28"/>
          <w:szCs w:val="28"/>
        </w:rPr>
      </w:pP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لقد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أعاد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مضمون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كثير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المفاهيم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والتّقاليد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والنّظم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القديمة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لتأخذ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معنى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جديدا،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مفهوم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نظام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تقليديّ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قديم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جدا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بيئات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كثيرة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وأخذ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صورا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مختلفة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البلاد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يدفع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والدا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العروس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الزّوج،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بلاد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أخرى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يدفع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الزّوج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أبويّ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العروس،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ويعرف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اصطلاحا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بأجر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العروس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الحالين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مقدار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باهظا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سنّه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فيزيل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الاختلاف،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ويحوّل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رمزيّ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يتمثّل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هديّة،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ذات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قيمة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ماديّة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محدودة،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يقدّمها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العريس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عروسه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pacing w:val="-2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pacing w:val="-2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بيّن حضرة بهاء الله أنّ العبرة في تحديد المهر هي بالموطن الدّائم للزّوج، لا العروس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استفسار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فتفضّل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مجرى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وممضى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ذكره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الدّرجة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الأولى،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مثقالا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الفضّة،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حدّده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لأهل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القرى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قبله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الطّرفان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القصد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راحة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الكلّ،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ووصلة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واتّحاد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النّاس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لذا،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كلّما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كثرت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المداراة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أحسن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يعاملوا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ويعاشروا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بعضهم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البعض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بكلّ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وصفاء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ويوجّهوا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تفكيرهم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يحقّق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نفع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العموم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ولخّص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لأهل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المدن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يدفعوا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المهر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بالذّهب،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ولأهل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القرى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يدفعوه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بالفضّة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والقدر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يتوقّف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مقدرة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الزّوج،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فقيرا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يدفع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مقدار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Style w:val="FootnoteCharacters"/>
          <w:rStyle w:val="FootnoteAnchor"/>
          <w:rFonts w:eastAsia="Symbol" w:cs="Symbol" w:ascii="Symbol" w:hAnsi="Symbol"/>
          <w:sz w:val="28"/>
          <w:szCs w:val="28"/>
          <w:rtl w:val="true"/>
        </w:rPr>
        <w:footnoteReference w:customMarkFollows="1" w:id="2"/>
        <w:t>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متواضع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يدفع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مقتدرا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فثلاثة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أضعاف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موسرا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فأربعة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أضعاف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وافر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الثّراء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فخمسة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أضعاف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يتّفق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الزّوج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والزّوجة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والأبوان،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يتّفق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يجب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إجراؤه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وأوصى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الشّارع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مؤكّدا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الهيئة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منوط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تنفيذ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الأحكام،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وتقوم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بسنّ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يلزم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ممّا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يرد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ذكره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pBdr/>
        <w:bidi w:val="1"/>
        <w:ind w:left="0" w:right="0" w:hanging="0"/>
        <w:jc w:val="both"/>
        <w:rPr/>
      </w:pPr>
      <w:r>
        <w:rPr>
          <w:rStyle w:val="FootnoteCharacters"/>
        </w:rPr>
        <w:footnoteRef/>
      </w:r>
      <w:r>
        <w:rPr>
          <w:rFonts w:cs="Simplified Arabic"/>
          <w:sz w:val="28"/>
          <w:szCs w:val="28"/>
          <w:rtl w:val="true"/>
        </w:rPr>
        <w:tab/>
        <w:t xml:space="preserve"> </w:t>
      </w:r>
      <w:r>
        <w:rPr>
          <w:rFonts w:cs="Simplified Arabic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المقصود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بالاصطلاح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Cs w:val="28"/>
          <w:rtl w:val="true"/>
          <w:lang w:bidi="ar-JO"/>
        </w:rPr>
        <w:t>"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cs="Simplified Arabic"/>
          <w:sz w:val="28"/>
          <w:szCs w:val="28"/>
          <w:rtl w:val="true"/>
          <w:lang w:bidi="ar-JO"/>
        </w:rPr>
        <w:t xml:space="preserve">"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هو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الوزن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تساوي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تسعة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عشر</w:t>
      </w:r>
      <w:r>
        <w:rPr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/>
          <w:sz w:val="28"/>
          <w:sz w:val="28"/>
          <w:szCs w:val="28"/>
          <w:rtl w:val="true"/>
          <w:lang w:bidi="ar-JO"/>
        </w:rPr>
        <w:t>مثقالا</w:t>
      </w:r>
      <w:r>
        <w:rPr>
          <w:rFonts w:cs="Simplified Arabic"/>
          <w:sz w:val="28"/>
          <w:szCs w:val="28"/>
          <w:rtl w:val="true"/>
          <w:lang w:bidi="ar-JO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>
        <w:rFonts w:ascii="Traditional Arabic" w:hAnsi="Traditional Arabic" w:cs="Traditional Arabic"/>
        <w:sz w:val="24"/>
        <w:szCs w:val="24"/>
      </w:rPr>
    </w:pPr>
    <w:r>
      <w:rPr>
        <w:rFonts w:cs="Traditional Arabic" w:ascii="Traditional Arabic" w:hAnsi="Traditional Arabic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FootnoteTextChar">
    <w:name w:val="Footnote Text Char"/>
    <w:qFormat/>
    <w:rPr>
      <w:rFonts w:ascii="Times New Roman" w:hAnsi="Times New Roman" w:eastAsia="Times New Roman" w:cs="Times New Roman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>
      <w:pBdr>
        <w:top w:val="dotted" w:sz="4" w:space="1" w:color="000000"/>
      </w:pBdr>
      <w:jc w:val="left"/>
    </w:pPr>
    <w:rPr>
      <w:rFonts w:ascii="Times New Roman" w:hAnsi="Times New Roman" w:eastAsia="Times New Roman" w:cs="Times New Roman"/>
      <w:sz w:val="20"/>
      <w:szCs w:val="20"/>
      <w:lang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