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المهر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استحسان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الاكتفاء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بمقدار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fa-IR"/>
        </w:rPr>
        <w:t>١٩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مثقالاً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الفضّة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لا يحقّق الصّهار إلاّ بالأمهار قد قدّر للمدن تسعة عشر مثقالا من الذّهب الإبريز وللقرى من الفض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ة ومن أراد الزّيادة حرّم عليه أن يتجاوز عن خمسة وتسعين مثقالا كذلك كان الأمر بالعزّ مسطورا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والّذي اقتنع بالد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رجة الأولى خير له في الكتاب إنّه يغني من يشآء بأسباب السّموات والأرض وكان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الله على كلّ شيء قديرا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66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المهر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المقصود من الاقتناع بالدّرجة الأولى في المهر هو تسعة عشر مثقالا من الفضّة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1455" w:hanging="0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