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مهريّه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پرداخت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کلّا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ممکن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نباشد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صدور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قبض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مجلس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جايز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دفعة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امکان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ضلع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چگونه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اذن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39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موارد عمده مربوط به پرداخت مهريّه در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 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قسمت د ، 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تا </w:t>
      </w:r>
      <w:r>
        <w:rPr>
          <w:rFonts w:ascii="Traditional Arabic" w:hAnsi="Traditional Arabic" w:cs="Traditional Arabic"/>
          <w:sz w:val="28"/>
          <w:sz w:val="28"/>
          <w:szCs w:val="28"/>
        </w:rPr>
        <w:t>٥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خلاصه شده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حکم مهريّه و جزئيّات آن در کتاب مبارک بيان نازل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مهريّه بايد از طرف داماد به عروس پرداخت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ميزان آن برای اهل مدن نوزده مثقال طلای خالص و برای اهل قری نوزده مثقال نقره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٩٤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می فرمايند که اگر در هنگام عقد داماد قادر نباشد که مهريّه را تماماً به عروس ادا کند ، مأذون است قبض مجلس رد نمايد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</w:rPr>
        <w:t>٣٩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 ظهور جمال مبارک بسياری از عقايد و آداب و رسوم متداوله من جمله مسئله مهريّه تغيير يافته و معانی جديدی به خود گرفته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پرداخت مهريّه از عادات کهنه در بين بسياری از جوامع و فرهنگها است که به اطوار مختلفه اجرا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بعضی ممالک مهريّه از طرف پدر و مادر عروس به داماد پرداخت می گردد ، در بعضی ممالک ديگر مهريّه را داماد به پدر و مادر عروس می پردازد ، که آنرا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شير بها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می گويند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هر دو حال مبلغ پرداختی معمولاً معتنابه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حکم جمال قدم اين رسوم متنوّعه را از ميان برداشته و مهريّه را به عنوان رمزی يعنی هديه‌ای با ارزش محدود و معيّن مقرّر فرموده که از طرف داماد به عروس تسليم ميگردد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