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المهر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يجوز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إعطاء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سند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بالمهر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إذا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يكن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في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الاستطاعة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دفعه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كاملاً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ما حكم المهر إذا لم يكن نقدا مسلّما دفعة واحدة، وكان في صورة التزام سندي مسلّم في مجلس العقد، على أن يكون الوفاء به عند الاستطاعة؟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أذن مصدر الأمر بذلك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رسال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pacing w:val="-2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أوجزت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خلاصة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أحكام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وأوامره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أحكام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المهر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خلاصة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والأوامر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رابعا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ج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: </w:t>
      </w:r>
      <w:r>
        <w:rPr>
          <w:rFonts w:cs="Traditional Arabic" w:ascii="Traditional Arabic" w:hAnsi="Traditional Arabic"/>
          <w:spacing w:val="-2"/>
          <w:sz w:val="28"/>
          <w:szCs w:val="28"/>
        </w:rPr>
        <w:t>1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ي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وأصولها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البيان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539"/>
        <w:jc w:val="left"/>
        <w:rPr>
          <w:rFonts w:ascii="Traditional Arabic" w:hAnsi="Traditional Arabic" w:cs="Traditional Arabic"/>
          <w:spacing w:val="-2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يدفع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العريس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المهر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للعروس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وقدره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تسعة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عشر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مثقالا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الذّهب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لأهل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المدن،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ومثلها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الفضّة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لأهل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القرى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2"/>
          <w:sz w:val="28"/>
          <w:szCs w:val="28"/>
        </w:rPr>
        <w:t>94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تعذّر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الزّوج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دفع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المهر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كاملا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وقت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القران،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جاز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يسلّم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العروس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التزاما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سنديّا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مجلس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العقد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. (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 xml:space="preserve">وجواب </w:t>
      </w:r>
      <w:r>
        <w:rPr>
          <w:rFonts w:cs="Traditional Arabic" w:ascii="Traditional Arabic" w:hAnsi="Traditional Arabic"/>
          <w:spacing w:val="-2"/>
          <w:sz w:val="28"/>
          <w:szCs w:val="28"/>
        </w:rPr>
        <w:t>39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pacing w:val="-2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2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left"/>
        <w:rPr>
          <w:rFonts w:ascii="Traditional Arabic" w:hAnsi="Traditional Arabic" w:cs="Traditional Arabic"/>
          <w:spacing w:val="-2"/>
          <w:sz w:val="28"/>
          <w:szCs w:val="28"/>
        </w:rPr>
      </w:pP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لقد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أعاد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تحديد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مضمون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كثير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المفاهيم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والتّقاليد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والنّظم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القديمة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لتأخذ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معنى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جديدا،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مفهوم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المهر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فالمهر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نظام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تقليديّ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قديم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جدا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عرف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بيئات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كثيرة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وأخذ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صورا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مختلفة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ففي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بعض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البلاد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يدفع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والدا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العروس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المهر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الزّوج،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وفي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بلاد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أخرى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يدفع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الزّوج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المهر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أبويّ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العروس،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ويعرف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المهر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اصطلاحا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بأجر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العروس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". 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وفي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كلا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الحالين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يكون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مقدار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المهر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باهظا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أمّا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سنّه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فيزيل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الاختلاف،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ويحوّل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المهر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شيء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رمزيّ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يتمثّل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هديّة،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ذات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قيمة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ماديّة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محدودة،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يقدّمها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العريس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عروسه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الشرح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93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2"/>
          <w:sz w:val="28"/>
          <w:szCs w:val="28"/>
        </w:rPr>
      </w:pP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1455" w:hanging="0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