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مشروط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بکارت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فساد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مشاهده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فساد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سبب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فساد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مشروط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اعاده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مهريّه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مطالبه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مخارج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ابطال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جايز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ولکن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ستر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عفو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شامل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عنداللّه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سبب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اجر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عظيم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هنگام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