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مؤکّداً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مکروه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مبغوض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نّ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الله أحب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الوصل والوفاق وأبغض الفصل والطّلاق عاشروا يا قوم بالرّوح والرّيحان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 عبادي أصلحوا ذات بينكم ثمّ استمعوا ما ينصحكم به القلم الأعلى ولا تتّبعوا جبّارا شقيّا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مطّلع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شهداء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رجوع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ثابت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ملاحظه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لئلّا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يحزن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امر طلاق در آئين بهائی شديداً مذموم است ولی در صورتی که بين زوج و زوجه کدورت و کراهت به ميان آيد طلاق پس از طيّ يک سال کامل مجاز است </w:t>
      </w:r>
      <w:r>
        <w:rPr>
          <w:rFonts w:ascii="Traditional Arabic" w:hAnsi="Traditional Arabic" w:cs="Traditional Arabic"/>
          <w:sz w:val="28"/>
          <w:sz w:val="28"/>
          <w:szCs w:val="28"/>
        </w:rPr>
        <w:t>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زوج موظّف است که احتياجات مالی همسر و فرزندان خود را در مدت يک سال اصطبار تأمين نمايد و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عين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حال طرفين مکلفند که به رفع اختلافات خود بکوشند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می فرمايند که حقوق طرفين در تقاضای طلاق مساوی است و هر طرف که طلاق را قطعيّاً لازم داند می تواند تقاضا نمايد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رساله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مسائلی چند مربوط به سنه اصطبار را مشروحاًبيان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موارد مصرّحه عبارتند از شرايط برگزاری سال تربّص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١٢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تعيين ابتدای سنه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فقرات </w:t>
      </w:r>
      <w:r>
        <w:rPr>
          <w:rFonts w:ascii="Traditional Arabic" w:hAnsi="Traditional Arabic" w:cs="Traditional Arabic"/>
          <w:sz w:val="28"/>
          <w:sz w:val="28"/>
          <w:szCs w:val="28"/>
        </w:rPr>
        <w:t>١٩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٤٠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شرايط اصلاح فيما بين زوج و زوجه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وظيفه شهود و بيت العدل محلّی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فقرات </w:t>
      </w:r>
      <w:r>
        <w:rPr>
          <w:rFonts w:ascii="Traditional Arabic" w:hAnsi="Traditional Arabic" w:cs="Traditional Arabic"/>
          <w:sz w:val="28"/>
          <w:sz w:val="28"/>
          <w:szCs w:val="28"/>
        </w:rPr>
        <w:t>٧٣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٩٨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بيت العدل اعظم می فرمايند که وظايف شهود در مورد طلاق در اين ايّام بر عهده محافل روحانيّه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جزئيّات حکم طلاق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تلخيص و تدوين حدود و احکام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خلاصه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طلاق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4410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