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طلاق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0"/>
          <w:szCs w:val="40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صورت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بروز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کُره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کدورت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يکی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زوجين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وقوع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طلا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ق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جايز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امّا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موکول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يک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سال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تمام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تربّص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است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شروع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اختتام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سنه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تربّص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گواهی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دو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نفر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شاهد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يا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بيشتر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برسد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امر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طلاق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را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حاکم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شرعی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بلد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جانب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امنای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بيت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عدل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مأمور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است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دفتر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ثبت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نمايد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40"/>
          <w:szCs w:val="40"/>
          <w:rtl w:val="true"/>
          <w:lang w:bidi="fa-IR"/>
        </w:rPr>
        <w:t xml:space="preserve">" . "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اقتران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مرء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با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مرئه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ايّام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اصطبار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حرام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است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کسی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مرتکب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شود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استغفار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کند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lang w:bidi="fa-IR"/>
        </w:rPr>
        <w:t>١٩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مثقال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ذهب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بيت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العدل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جزای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عمل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>برساند</w:t>
      </w:r>
      <w:r>
        <w:rPr>
          <w:rFonts w:ascii="Traditional Arabic" w:hAnsi="Traditional Arabic" w:cs="Traditional Arabic"/>
          <w:b/>
          <w:b/>
          <w:bCs/>
          <w:color w:val="0000CC"/>
          <w:sz w:val="40"/>
          <w:sz w:val="40"/>
          <w:szCs w:val="40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40"/>
          <w:szCs w:val="40"/>
          <w:rtl w:val="true"/>
          <w:lang w:bidi="fa-IR"/>
        </w:rPr>
        <w:t>"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وإن حدث بينهما كدورة أو كره ليس له أن يطلّقها وله أن يصبر سنة كاملة لعل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تسطع بينهم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رآئحة المحب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ة وإن كملت وما فاحت فلا بأس في الطّلاق إنّه كان على كلّ شيء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حكيما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68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اقتران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ندامت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اقتران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محسوب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گيرد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تربّص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بميان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ثابت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منتهی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تربّص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اقتران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مرتکب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استغفار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برساند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11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cs="Traditional Arabic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عدالت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اثبات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شهادت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عدالت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نيکوئی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شهادت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حزبی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العرش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79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منقضی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امتناع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تکليف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ضلع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چيست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انقضای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ابتدا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الحاجة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گواهی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4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نموده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نداشته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انتهای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مطّلع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شهداء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رجوع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ثابت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جانب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امنای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دفتر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ملاحظه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لئلّا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يحزن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فئدة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98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ميزان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عدالت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چنانچه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شهادت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حزبی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العرش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٧٩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99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امر طلاق در آئين بهائی شديداً مذموم است ولی در صورتی که بين زوج و زوجه کدورت و کراهت به ميان آيد طلاق پس از طيّ يک سال کامل مجاز است </w:t>
      </w:r>
      <w:r>
        <w:rPr>
          <w:rFonts w:ascii="Traditional Arabic" w:hAnsi="Traditional Arabic" w:cs="Traditional Arabic"/>
          <w:sz w:val="28"/>
          <w:sz w:val="28"/>
          <w:szCs w:val="28"/>
        </w:rPr>
        <w:t>٠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زوج موظّف است که احتياجات مالی همسر و فرزندان خود را در مدت يک سال اصطبار تأمين نمايد و 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عين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حال طرفين مکلفند که به رفع اختلافات خود بکوشند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وليّ امراللّه می فرمايند که حقوق طرفين در تقاضای طلاق مساوی است و هر طرف که طلاق را قطعيّاً لازم داند می تواند تقاضا نمايد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رساله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 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مسائلی چند مربوط به سنه اصطبار را مشروحاًبيان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موارد مصرّحه عبارتند از شرايط برگزاری سال تربّص 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١٢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تعيين ابتدای سنه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فقرات </w:t>
      </w:r>
      <w:r>
        <w:rPr>
          <w:rFonts w:ascii="Traditional Arabic" w:hAnsi="Traditional Arabic" w:cs="Traditional Arabic"/>
          <w:sz w:val="28"/>
          <w:sz w:val="28"/>
          <w:szCs w:val="28"/>
        </w:rPr>
        <w:t>١٩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</w:rPr>
        <w:t>٤٠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شرايط اصلاح فيما بين زوج و زوجه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وظيفه شهود و بيت العدل محلّی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فقرات </w:t>
      </w:r>
      <w:r>
        <w:rPr>
          <w:rFonts w:ascii="Traditional Arabic" w:hAnsi="Traditional Arabic" w:cs="Traditional Arabic"/>
          <w:sz w:val="28"/>
          <w:sz w:val="28"/>
          <w:szCs w:val="28"/>
        </w:rPr>
        <w:t>٧٣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 </w:t>
      </w:r>
      <w:r>
        <w:rPr>
          <w:rFonts w:ascii="Traditional Arabic" w:hAnsi="Traditional Arabic" w:cs="Traditional Arabic"/>
          <w:sz w:val="28"/>
          <w:sz w:val="28"/>
          <w:szCs w:val="28"/>
        </w:rPr>
        <w:t>٩٨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بيت العدل اعظم می فرمايند که وظايف شهود در مورد طلاق در اين ايّام بر عهده محافل روحانيّه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جزئيّات حکم طلاق در جزوه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تلخيص و تدوين حدود و احکام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قسمت د ، 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٢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تا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٢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خلاصه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طلاق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4410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