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يجوز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معاودة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الشّخص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لمطلّقته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بعقد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ثان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دامت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تتّخذ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لنفسها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آخر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.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فإن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كانت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تزوّجت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تجوز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معاودتها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إلاّ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انحلال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زواجها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الآخر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نهاكم الله عما عملتم بعد طلقات ثلاث فضلا من عنده لتكونوا من الشّاكرين في لوح 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من قلم الأمر مسطورا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طل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 له الاختيار في الرّجوع بعد انقضآء كلّ شهر بالمودّة والرّضآء ما لم تستحصن وإذ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 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ستحصنت تحقّق الفصل بوصل آخر وقضي الأمر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إلا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بعد أمر مبين كذلك كان الأمر من مطلع الجمال في لوح الجلال بالإجلال مرقوما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68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ذكر حضرة وليّ أمر الله في رسالة كتبت بناء على تعليماته بأنّ عبارة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انقضاء كلّ شهر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تعني تحديدا زمنيّا، وأنّ من الممكن للمطلّقين أن يجدّدا رابطتهما بزواج جديد في أيّ وقت، شريطة ألاّ يكون أحدهما قد ارتبط بزواج آخر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4050" w:hanging="0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