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تقسيم المواريث على سبع طبقات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tbl>
      <w:tblPr>
        <w:tblW w:w="9388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88"/>
      </w:tblGrid>
      <w:tr>
        <w:trPr>
          <w:trHeight w:val="386" w:hRule="atLeast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F1DD" w:val="clear"/>
            <w:vAlign w:val="center"/>
          </w:tcPr>
          <w:p>
            <w:pPr>
              <w:pStyle w:val="Normal"/>
              <w:bidi w:val="1"/>
              <w:ind w:left="0" w:right="0" w:hanging="0"/>
              <w:jc w:val="left"/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.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الذرية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         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1080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سهم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من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2520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</w:p>
        </w:tc>
      </w:tr>
      <w:tr>
        <w:trPr>
          <w:trHeight w:val="359" w:hRule="atLeast"/>
        </w:trPr>
        <w:tc>
          <w:tcPr>
            <w:tcW w:w="9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F1DD" w:val="clear"/>
            <w:vAlign w:val="center"/>
          </w:tcPr>
          <w:p>
            <w:pPr>
              <w:pStyle w:val="Normal"/>
              <w:bidi w:val="1"/>
              <w:ind w:left="0" w:right="0" w:hanging="0"/>
              <w:jc w:val="left"/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2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.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الأزواج          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390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   من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2520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</w:p>
        </w:tc>
      </w:tr>
      <w:tr>
        <w:trPr>
          <w:trHeight w:val="332" w:hRule="atLeast"/>
        </w:trPr>
        <w:tc>
          <w:tcPr>
            <w:tcW w:w="9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F1DD" w:val="clear"/>
            <w:vAlign w:val="center"/>
          </w:tcPr>
          <w:p>
            <w:pPr>
              <w:pStyle w:val="Normal"/>
              <w:bidi w:val="1"/>
              <w:ind w:left="0" w:right="0" w:hanging="0"/>
              <w:jc w:val="left"/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3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.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الآباء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           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330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   من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2520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</w:p>
        </w:tc>
      </w:tr>
      <w:tr>
        <w:trPr>
          <w:trHeight w:val="386" w:hRule="atLeast"/>
        </w:trPr>
        <w:tc>
          <w:tcPr>
            <w:tcW w:w="9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F1DD" w:val="clear"/>
            <w:vAlign w:val="center"/>
          </w:tcPr>
          <w:p>
            <w:pPr>
              <w:pStyle w:val="Normal"/>
              <w:bidi w:val="1"/>
              <w:ind w:left="0" w:right="0" w:hanging="0"/>
              <w:jc w:val="left"/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4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.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الأمّهات         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270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   من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2520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</w:p>
        </w:tc>
      </w:tr>
      <w:tr>
        <w:trPr>
          <w:trHeight w:val="350" w:hRule="atLeast"/>
        </w:trPr>
        <w:tc>
          <w:tcPr>
            <w:tcW w:w="9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F1DD" w:val="clear"/>
            <w:vAlign w:val="center"/>
          </w:tcPr>
          <w:p>
            <w:pPr>
              <w:pStyle w:val="Normal"/>
              <w:bidi w:val="1"/>
              <w:ind w:left="0" w:right="0" w:hanging="0"/>
              <w:jc w:val="left"/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5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.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الأخوة            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210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   من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2520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</w:p>
        </w:tc>
      </w:tr>
      <w:tr>
        <w:trPr>
          <w:trHeight w:val="323" w:hRule="atLeast"/>
        </w:trPr>
        <w:tc>
          <w:tcPr>
            <w:tcW w:w="9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F1DD" w:val="clear"/>
            <w:vAlign w:val="center"/>
          </w:tcPr>
          <w:p>
            <w:pPr>
              <w:pStyle w:val="Normal"/>
              <w:bidi w:val="1"/>
              <w:ind w:left="0" w:right="0" w:hanging="0"/>
              <w:jc w:val="left"/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6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.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الأخوات         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150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   من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2520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</w:p>
        </w:tc>
      </w:tr>
      <w:tr>
        <w:trPr>
          <w:trHeight w:val="377" w:hRule="atLeast"/>
        </w:trPr>
        <w:tc>
          <w:tcPr>
            <w:tcW w:w="9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F1DD" w:val="clear"/>
            <w:vAlign w:val="center"/>
          </w:tcPr>
          <w:p>
            <w:pPr>
              <w:pStyle w:val="Normal"/>
              <w:bidi w:val="1"/>
              <w:ind w:left="0" w:right="0" w:hanging="0"/>
              <w:jc w:val="left"/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7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.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المعلّمون          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90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     من    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lang w:bidi="ar-SA"/>
              </w:rPr>
              <w:t>2520</w:t>
            </w:r>
            <w:r>
              <w:rPr>
                <w:rFonts w:eastAsia="Times New Roman" w:cs="Naskh MT for Bosch School" w:ascii="Naskh MT for Bosch School" w:hAnsi="Naskh MT for Bosch School"/>
                <w:color w:val="000000"/>
                <w:sz w:val="20"/>
                <w:szCs w:val="20"/>
                <w:rtl w:val="true"/>
                <w:lang w:bidi="ar-SA"/>
              </w:rPr>
              <w:t xml:space="preserve"> </w:t>
            </w:r>
            <w:r>
              <w:rPr>
                <w:rFonts w:ascii="Naskh MT for Bosch School" w:hAnsi="Naskh MT for Bosch School" w:eastAsia="Times New Roman" w:cs="Naskh MT for Bosch School"/>
                <w:color w:val="000000"/>
                <w:sz w:val="20"/>
                <w:sz w:val="20"/>
                <w:szCs w:val="20"/>
                <w:rtl w:val="true"/>
                <w:lang w:bidi="ar-SA"/>
              </w:rPr>
              <w:t>سهم</w:t>
            </w:r>
          </w:p>
        </w:tc>
      </w:tr>
    </w:tbl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قسمنا المواريث على عدد الز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اء منها قدّر لذر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اتكم من كتاب الطّ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عدد المقت وللأزواج من كتاب 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عدد التّ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وللآب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من كتاب الزّ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عدد التّ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والكّاف وللأم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هات من كتاب الواو على عدد الرّفيع وللإخوان من كتاب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عدد 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ين وللأخوات من كتاب الدّال عدد الرّ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والميم وللمعلّمين من كتاب الجيم عدد القاف والف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كذلك حكم مبشّري الّذي يذكرني في اللّيالي والأسحار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إنّا 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ــــّ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سمعنا ضجيج الذ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 في الأصلاب زدنا ضعف ما لهم ونقصنا عن الأخرى إنّه لهو المقتدر على ما 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يفعل بسلط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نه كيف أراد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بخصوص الآية المباركة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 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 سمعنا ضجيج الذّرّيّات في الأصلاب زدنا ضعف ما لهم ونقصنا من الأخرى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قسّمت المواريث في كتاب الله إلى ألفين وخمسمائة وعشرين سهما، وهو المضاعف المشترك الأصغر للأعداد من الواحد إلى التّسعة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وقسّمت هذه الأسهم على سبع طبقات من الورّاث، كما هو مذكور في الكتاب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فما يخصّ الذ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يّة مثلا مساو في مقداره لحرف الطّاء، أي تسع حصص، كلّ منها ستون سهما، مجموعها خمسمائة وأربعون سهما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وقوله تعالى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>زدنا ضعف ما لهم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يعني زيادة نصيب الذ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رّيّة بمقدار تسع حصص أخرى، فيكون مجموع نصيبهم ثماني عشرة حصّة كلّ منها ست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ون سهما، وتنقص هذه الزّيادة من حصص سائر الورثة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فمثلا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قد نزّل في الكتاب أن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>للأزواج من كتاب الحاء على عدد الت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ّآ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>ء والف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>ء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أي ثماني حصص كلّ منها ست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ون سهما مجملها أربعمائة وثمانون سهما، بينما ترتّب على إعادة تقسيم الحصص، إنقاص حصّة ونصف من نصيب الأزواج أي تسعين سهما أضيفت إلى نصيب الذّرّي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ة، وكذلك الحال مع باقي طبقات الورّاث، حتّى بلغ مقدار ما انتقص منهم تسع حصص، وهو ما زيد إلى نصيب الذّرّي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يخصّ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ميراث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الأخّ، هل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يرث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الأخّ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الشّّقيق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فقط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أم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يرث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الأخّ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لأب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لأمّ؟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 كان الأخّ لأب نال حقّه كما هو مذكور في الكتاب، وإن كان لأمّ يرجع ثلث حقّه إلى بيت العدل ويبقى له الث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لثان، وكذلك حكم الأخت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ستفسر مجدّدا عن إرث المعلّم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كان المعلّم من غير أهل البهاء فلا يرث، وإذا تعدّد المعلّمون تقاسموا الحصّة بينهم بالت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ساوي، وإذا كان المعلّم متوف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لا نصيب لأولاده في الإرث، وإنما يرجع ثلثا الإرث لأولاد صاحب 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ركة والثّلث الآخر لبيت 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الإرث، هل يرث الإخوة والأخوات لأمّ، مع وجود إخوة وأخوات أشقّاء؟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سهم لهم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تطبّق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المواريث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مجموعة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109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صراحة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التّصرّف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كيفيّة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توزيع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تركته،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ويعيّن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الموصى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إليهم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69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للبهائيّ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يوصي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بتقسيم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تركته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كيف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يشاء،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ملزم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أدبيّا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ووجدانيّا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ألاّ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يغفل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كتابة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وصيّته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ضرورة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اتّباع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الوظيفة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للثروة،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وضرورة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تجنّب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تكدّس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الثّروات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وتركيزها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قليلة،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فئات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أفراد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معيّنة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أعلاه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مفصّل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المواريث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شريعته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قراءتنا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نتذكّر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تفترض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رجلا،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يقتضيه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تغيير،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امرأة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المواريث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يعتمد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أساسا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ويقضي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بتوزيع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الورّاث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الذّرّيّة،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والأزواج،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والأمّ،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والأخوة،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والأخوات،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والمعلّمين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المواريث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تقسّم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تركته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التّالي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يسكنها،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يختصّ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34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ذكورا،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الإناث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ثلثيّ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سكناه،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41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72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42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لمعرفة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المحلّي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 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44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توزّع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الطّبقات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الورّاث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تؤول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تقسّم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المخصّصة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بالتّساوي،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ذكورا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إناثا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حصّتهم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41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وغياب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الورّاث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بعضهم،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ثلثا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حصصهم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والثّلث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الورّاث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المذكورة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ثلثا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حصصهم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إخوة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وأخوات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يوجدوا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حصصهم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والأخوال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والعمّات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والخالات،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يوجدوا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ذرّيّاتهم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والبنات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وفي كلّ الأحوال يرجع الثّلث الآخر إلى بيت 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ورثة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بكاملها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numPr>
          <w:ilvl w:val="0"/>
          <w:numId w:val="2"/>
        </w:numPr>
        <w:bidi w:val="1"/>
        <w:ind w:left="0" w:right="0" w:hanging="397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والديه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وأقاربه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ينطبق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الحالات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يتوفّى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وصيّة،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يوجب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توزيع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تركته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طبقا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لأحكام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الأقدس،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عدا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فللبهائي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مطلق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الحرّيّة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ليوصي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بماله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يشاء،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بغضّ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النّظر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ديانة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الموصى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شرط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يترك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وصيّة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تبيّن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رغباته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وعلى ذلك يمكن للبهائي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في كلّ الأحوال أن يترك لأقاربه وأولاده أو زوجه غير البهائيّين ما شاء من ميراث بالإيصاء لهم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ولمزيد من التّفصيل في أحكام المواريث انظر خلاصة الأحكام والأوامر 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بند </w:t>
      </w: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 – 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الرّوحاني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يهب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طفله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الحياة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الأبديّة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المعلّمين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معدودون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الورّاث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شريعة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  <w:tab/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وحدّد حضرة بهاء الله الشّروط الّتي يجب توفّرها ليرث المعلّم أو المعلّمة، وكذلك الأسهم الّتي تؤول إليه أو إليها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586"/>
        </w:tabs>
        <w:ind w:left="794" w:hanging="284"/>
      </w:pPr>
      <w:rPr>
        <w:sz w:val="28"/>
        <w:szCs w:val="28"/>
        <w:rFonts w:ascii="Traditional Arabic" w:hAnsi="Traditional Arabic"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raditional Arabic" w:hAnsi="Traditional Arabic" w:cs="Traditional Arabic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