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قرر حضرة بهاءالله للذرية ضعف الحصّة التي عينها لهم حضرة الباب، وأنقص مقدارا مساويا من حصص باقي الورثة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قسمنا المواريث على عدد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اء منها قدّر لذر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اتكم من كتاب الطّ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المقت وللأزواج من كتاب 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وللآب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من كتاب الزّ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والكّاف وللأم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هات من كتاب الواو على عدد الرّفيع وللإخوان من كتاب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عدد 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ين وللأخوات من كتاب الدّال عدد الرّ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والميم وللمعلّمين من كتاب الجيم عدد القاف والف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كذلك حكم مبشّري الّذي يذكرني في اللّيالي والأسحار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إنّا 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ــــّ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سمعنا ضجيج الذ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 في الأصلاب زدنا ضعف ما لهم ونقصنا عن الأخرى إنّه لهو المقتدر على ما 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يفعل بسلط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نه كيف أراد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بخصوص الآية المباركة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 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 سمعنا ضجيج الذّرّيّات في الأصلاب زدنا ضعف ما لهم ونقصنا من الأخرى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قسّمت المواريث في كتاب الله إلى ألفين وخمسمائة وعشرين سهما، وهو المضاعف المشترك الأصغر للأعداد من الواحد إلى التّسعة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وقسّمت هذه الأسهم على سبع طبقات من الورّاث، كما هو مذكور في الكتاب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فما يخصّ الذ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يّة مثلا مساو في مقداره لحرف الطّاء، أي تسع حصص، كلّ منها ستون سهما، مجموعها خمسمائة وأربعون سهما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وقوله تعالى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زدنا ضعف ما لهم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يعني زيادة نصيب الذ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رّيّة بمقدار تسع حصص أخرى، فيكون مجموع نصيبهم ثماني عشرة حصّة كلّ منها ست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ون سهما، وتنقص هذه الزّيادة من حصص سائر الورثة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فمثلا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نزّل في الكتاب أن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للأزواج من كتاب الحاء على عدد الت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ّآ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ء والف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ء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أي ثماني حصص كلّ منها ست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ون سهما مجملها أربعمائة وثمانون سهما، بينما ترتّب على إعادة تقسيم الحصص، إنقاص حصّة ونصف من نصيب الأزواج أي تسعين سهما أضيفت إلى نصيب الذّرّي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ة، وكذلك الحال مع باقي طبقات الورّاث، حتّى بلغ مقدار ما انتقص منهم تسع حصص، وهو ما زيد إلى نصيب الذّرّي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سبق أن حدّدت أحكام المواريث في شريعة حضرة الباب نصيب ذرّيّة المتوفّى بتسع حصص مقدارها </w:t>
      </w:r>
      <w:r>
        <w:rPr>
          <w:rFonts w:cs="Traditional Arabic" w:ascii="Traditional Arabic" w:hAnsi="Traditional Arabic"/>
          <w:sz w:val="28"/>
          <w:szCs w:val="28"/>
        </w:rPr>
        <w:t>540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سهما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ويقلّ هذا المقدار قليلا عن ربع التّركة، فضاعف حضرة بهاء الله حصّة ذرّيّة المتوفّى وجعلها </w:t>
      </w:r>
      <w:r>
        <w:rPr>
          <w:rFonts w:cs="Traditional Arabic" w:ascii="Traditional Arabic" w:hAnsi="Traditional Arabic"/>
          <w:sz w:val="28"/>
          <w:szCs w:val="28"/>
        </w:rPr>
        <w:t>1080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سهما، وأنقص مقدار الزّيادة من حصص طبقات الورّاث الأخرى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وأوجز حضرته مقصد هذه الآية المباركة وأثرها على توزيع الإرث في رسالة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