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>سهم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>اولاد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>شرايط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>خاص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متوفّی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ذرّيه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نداشته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سهم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اولاد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بيت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العدل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راجع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جهت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ايتام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ارامل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خيريّه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صرف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من مات ولم يكن له ذر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 ترجع حقوقهم إلى بيت العدل ليصرفوها أمن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ء الرّحمن في الأيتام والأرامل وما ينتفع به جمهور النّاس ليشكروا ربّهم العزيز الغفّار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کتاب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21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باب ارث مقرّر شده که اگر ذرّيه موجود نباشد حقوق ايشان به بيت العدل راجع است هر يک از ساير طبقات هم هر گاه موجود نباشد مثل اب و امّ و يا اخ و اخت و معلّم حقوق آنها راجع به بيت العدل است و يا قسم ديگر 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آيه مبارکه کافی است قوله تعالی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مات و لم يکن له ذرّيّه ترجع حقوقهم الی بيت العدل الخ  و الّذی له ذرّيّة و لم يکن ما دونها عمّا حدّد فی الکتاب يرجع الثّلثان ممّا ترکه الی الذّرّيّة و الثّلث الی بيت العدل الخ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يعنی اگر کسی بميرد و ذرّيه نداشته باشد حقوق ذرّيه به بيت العدل راجع است و اگر ذرّيه باشد و سايرين از ورّاث نباشند دو ثلث از ميراث به ذرّيه می رسد و ثلث آخر به بيت العدل راجع اين حکم در کُل و بعض هر دو جاری است يعنی هر کدام از ساير ورّاث نباشند دو ثلث به ذريّه راجع و ثلث به بيت 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آمده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واضحاً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تصريح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نفرموده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محلّی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مؤسّسه‌ای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تشکيلش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مصرّح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هيکل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اطهر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تشخيص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بستگی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آينده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الواح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درآمد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محلّی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آورند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محلّی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42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احكام احوال شخصيّه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ارث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