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highlight w:val="yellow"/>
          <w:rtl w:val="true"/>
          <w:lang w:bidi="fa-IR"/>
        </w:rPr>
        <w:t>عند عدم وجود ذرية</w:t>
      </w:r>
      <w:r>
        <w:rPr>
          <w:rFonts w:cs="Traditional Arabic" w:ascii="Traditional Arabic" w:hAnsi="Traditional Arabic"/>
          <w:b/>
          <w:bCs/>
          <w:color w:val="0000CC"/>
          <w:sz w:val="56"/>
          <w:szCs w:val="56"/>
          <w:highlight w:val="yellow"/>
          <w:rtl w:val="true"/>
          <w:lang w:bidi="fa-IR"/>
        </w:rPr>
        <w:t>:</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عند عدم وجود ذرية تؤول حصّتهم إلى بيت العدل لينفقها على الأيتام والأرامل وكلّ ما ينفع العباد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 " </w:t>
      </w:r>
      <w:r>
        <w:rPr>
          <w:rFonts w:ascii="Traditional Arabic" w:hAnsi="Traditional Arabic" w:cs="Traditional Arabic"/>
          <w:spacing w:val="-4"/>
          <w:sz w:val="28"/>
          <w:sz w:val="28"/>
          <w:szCs w:val="28"/>
          <w:rtl w:val="true"/>
        </w:rPr>
        <w:t>من مات ولم يكن له ذر</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ترجع حقوقهم إلى بيت العدل ليصرفوها أمن</w:t>
      </w:r>
      <w:r>
        <w:rPr>
          <w:rFonts w:ascii="Traditional Arabic" w:hAnsi="Traditional Arabic" w:cs="Traditional Arabic"/>
          <w:spacing w:val="-4"/>
          <w:sz w:val="28"/>
          <w:sz w:val="28"/>
          <w:szCs w:val="28"/>
          <w:rtl w:val="true"/>
          <w:lang w:bidi="ar-JO"/>
        </w:rPr>
        <w:t>آ</w:t>
      </w:r>
      <w:r>
        <w:rPr>
          <w:rFonts w:ascii="Traditional Arabic" w:hAnsi="Traditional Arabic" w:cs="Traditional Arabic"/>
          <w:spacing w:val="-4"/>
          <w:sz w:val="28"/>
          <w:sz w:val="28"/>
          <w:szCs w:val="28"/>
          <w:rtl w:val="true"/>
        </w:rPr>
        <w:t xml:space="preserve">ء الرّحمن في الأيتام والأرامل وما ينتفع به جمهور النّاس ليشكروا ربّهم العزيز الغفّار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الکتاب الأقدس – الفقرة </w:t>
      </w:r>
      <w:r>
        <w:rPr>
          <w:rFonts w:cs="Traditional Arabic" w:ascii="Traditional Arabic" w:hAnsi="Traditional Arabic"/>
          <w:color w:val="FF0000"/>
          <w:spacing w:val="-4"/>
          <w:sz w:val="28"/>
          <w:szCs w:val="28"/>
        </w:rPr>
        <w:t>21</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من المقرّر في باب الإرث أنّه عند عدم وجود ذّرّي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ة، يرجع نصيبها إلى بيت العدل، فهل عند عدم وجود أيّ من الطّبقات الأخرى كالأب أو الأمّ أو الأخّ أو الأخت أو المعلّم يرجع نصيبها إلى بيت العدل أيضا أم أنّ لها حكما آخر؟</w:t>
      </w:r>
    </w:p>
    <w:p>
      <w:pPr>
        <w:pStyle w:val="PlainText"/>
        <w:bidi w:val="1"/>
        <w:ind w:left="0" w:right="0" w:hanging="0"/>
        <w:jc w:val="both"/>
        <w:rPr>
          <w:rFonts w:ascii="Traditional Arabic" w:hAnsi="Traditional Arabic" w:cs="Traditional Arabic"/>
          <w:spacing w:val="-4"/>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في الآية المباركة ما يكفي، فقوله تعالى</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من مات ولم يكن له ذرّيّة ترجع حقوقهم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إلى آخر الآية، وقوله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الّذي له ذرّيّة ولم يكن ما دونها عمّا حدّد في الكتاب يرجع الث</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لثان ممّا تركه إلى الذّرّي</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ة والث</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لث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إلى آخر الآية، يعني عند عدم وجود الذّرّيّة يرجع نصيبها في الت</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ركة إلى بيت العدل، وعند وجود الذّرّيّة وعدم وجود أيّ من الط</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بقات الأخرى يؤول ثلثا نصيبها إلى الذّرّيّة والثّلث الآخر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ويسري هذا الحكم عند عدم وجود الكلّ أو البعض، فعند عدم وجود أيّ من الورّاث الآخرين يؤول ثلثا نصيبه إلى الذّرّيّة وثلثه الآخر إلى بيت العدل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رسال</w:t>
      </w:r>
      <w:r>
        <w:rPr>
          <w:rFonts w:ascii="Traditional Arabic" w:hAnsi="Traditional Arabic" w:cs="Traditional Arabic"/>
          <w:color w:val="FF0000"/>
          <w:sz w:val="28"/>
          <w:sz w:val="28"/>
          <w:szCs w:val="28"/>
          <w:rtl w:val="true"/>
        </w:rPr>
        <w:t>ة</w:t>
      </w:r>
      <w:r>
        <w:rPr>
          <w:rFonts w:ascii="Traditional Arabic" w:hAnsi="Traditional Arabic" w:cs="Traditional Arabic"/>
          <w:color w:val="FF0000"/>
          <w:sz w:val="28"/>
          <w:sz w:val="28"/>
          <w:szCs w:val="28"/>
          <w:rtl w:val="true"/>
        </w:rPr>
        <w:t xml:space="preserve"> سؤال وجواب –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tl w:val="true"/>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510"/>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أيّهما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فكثيرا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اكتفى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بالإشارة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تعيين،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تاركا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المجال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مفتوحا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المستقبل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تطبيق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بهما</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ولكن ذكر حضرة عبد البهاء في أحد ألواحه الّتي تعدّد موارد الخزانة المحليّة حصص الورّاث المعدومين، وبذلك يكون بيت العدل المذكور في الكتاب بخصوص الإرث هو بيت العدل المحل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کتاب اقدس – شرح </w:t>
      </w:r>
      <w:r>
        <w:rPr>
          <w:rFonts w:cs="Traditional Arabic" w:ascii="Traditional Arabic" w:hAnsi="Traditional Arabic"/>
          <w:color w:val="FF0000"/>
          <w:sz w:val="28"/>
          <w:szCs w:val="28"/>
        </w:rPr>
        <w:t>42</w:t>
      </w:r>
      <w:r>
        <w:rPr>
          <w:rFonts w:cs="Traditional Arabic" w:ascii="Traditional Arabic" w:hAnsi="Traditional Arabic"/>
          <w:color w:val="FF0000"/>
          <w:sz w:val="28"/>
          <w:szCs w:val="28"/>
          <w:rtl w:val="true"/>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