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شرايط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highlight w:val="yellow"/>
          <w:rtl w:val="true"/>
          <w:lang w:bidi="fa-IR"/>
        </w:rPr>
        <w:t>خاص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صورتيکه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پسر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شخص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وفات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يافته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ذرّيه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باقی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ذريّه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مذکور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ارث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دختر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گذشته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ذرّيه‌ای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باقی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مانده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مادرشان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طبق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اقدس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هفت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طبقه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مصرّح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تقسيم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 الّذي مات في أيّام والده وله ذر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أولئك يرثون ما لأبيهم في كتاب الله اقسموا بينهم بالعدل الخالص كذلك ماج بحر الكلام وقذف لئالى الأحكام من لدن مالك الأنام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کتاب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قوله تعالی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انّ الّذی مات فی ايّام والده و له ذرّيّة اولئک يرثون ما لابيهم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اگر دختر در ايّام پدر فوت شود حکمش چيست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ميراث او به حکم کتاب به هفت سهم منقسم می‌شود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 –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والدينش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فرزندانی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باقی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گذاشته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مصرّحه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٥٤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) 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