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يوجد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أيّ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الورّاث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المذكورين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ترجع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التّركة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كلّها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لبيت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العدل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مات ولم يكن له أحد من الّذين نزّلت أسم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ئهم من القلم الأعلى ترجع الأموال كلّها إلى المقرّ المذكور لتصرف فيما أمر الله به إنّه لهو المقتدر الأمّار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