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شخص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صغير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سهمشان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تجارت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اقتراف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بشخص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امينی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شرکتی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سپرده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مزبور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بلوغ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برسند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سهمی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منافع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حاصله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شخص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امين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امناء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مذکور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تخصيص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داده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ترك ذرّيّة ضعافا سلّموا ما لهم إلى أمين ليتّجر لهم إلى أن يبلغوا رشدهم أو إلى 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راكة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عيّنوا للأمين حقّا 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حصل من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جارة والاقتراف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امين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علاوه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لغوی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نفوسی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مصداق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اعتماد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صداقت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وفاداری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راستی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درستکاری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امين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نفوسی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معتمد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متصدّی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قيّم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