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صورتی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برادر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برادر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ابی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کامل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مذکور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تعلّق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گيرد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امّا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پدر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جدا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فقط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مذکور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تعلّق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گيرد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بقيّه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درباره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خواهر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نيز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جاری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است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اُمّ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بند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