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مدّة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الدّور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البهائيّ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من يدّعي أمرا قبل إتمام ألف سنة كاملة إنّه كذ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اب مفتر نسئل الله بأن يؤيّده على الر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جوع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إن تاب إنّه هو الت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و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اب وإن أصرّ على ما قال يبعث عليه من لا يرحمه إنّه شديد العقاب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من يأوّل هذه الآية أو يفسّرها بغير ما نزّل في الظّاهر إنّه محروم من روح الله ورحمته الّتي سبقت العالمين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قدس –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37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تمتدّ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التّالي،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يتحقّق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كاملة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وحذّر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تفسير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السّنوات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الألف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تتألّف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اثني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شهرا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الفرقان،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شهرا،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يوما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البيان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بدأت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ﭽ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بطهران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أكتوبر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1852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انقضاؤها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التّالي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