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نهی از تعدّد زوجات</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قد كتب الله عليكم النّكاح إيّاكم أن تجاوزوا عن الاثنتين والّذي اقتنع بواحدة من الإمآء استراحت نفسه ونفسها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pacing w:val="-6"/>
          <w:sz w:val="28"/>
          <w:szCs w:val="28"/>
          <w:lang w:bidi="ar-JO"/>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63</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pacing w:val="-6"/>
          <w:sz w:val="28"/>
          <w:szCs w:val="28"/>
          <w:lang w:bidi="ar-JO"/>
        </w:rPr>
      </w:pPr>
      <w:r>
        <w:rPr>
          <w:rFonts w:cs="Traditional Arabic" w:ascii="Traditional Arabic" w:hAnsi="Traditional Arabic"/>
          <w:color w:val="FF0000"/>
          <w:spacing w:val="-6"/>
          <w:sz w:val="28"/>
          <w:szCs w:val="28"/>
          <w:rtl w:val="true"/>
          <w:lang w:bidi="ar-JO"/>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عبدالبهاء</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قرآن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خِفْتُمْ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تَعْدِلُوْا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فَوَاحِدَةً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دلالت 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 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مقبول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لکن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اسلام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تعديل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 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لباس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زندگانی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 ثلاث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رُباع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زمان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کثرت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ازدواج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عربها اندازه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نداشت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ثلاث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رباع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مشروط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تعديل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فرمودند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والّا تعدّد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فساد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عائله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 xml:space="preserve">امر و خلق، جلد </w:t>
      </w:r>
      <w:r>
        <w:rPr>
          <w:rFonts w:cs="Traditional Arabic" w:ascii="Traditional Arabic" w:hAnsi="Traditional Arabic"/>
          <w:color w:val="FF0000"/>
          <w:sz w:val="28"/>
          <w:szCs w:val="28"/>
          <w:lang w:bidi="ar-JO"/>
        </w:rPr>
        <w:t>4</w:t>
      </w:r>
      <w:r>
        <w:rPr>
          <w:rFonts w:ascii="Traditional Arabic" w:hAnsi="Traditional Arabic" w:cs="Traditional Arabic"/>
          <w:color w:val="FF0000"/>
          <w:sz w:val="28"/>
          <w:sz w:val="28"/>
          <w:szCs w:val="28"/>
          <w:rtl w:val="true"/>
          <w:lang w:bidi="ar-JO"/>
        </w:rPr>
        <w:t>، ص</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lang w:bidi="ar-JO"/>
        </w:rPr>
        <w:t>174</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تزويج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الحقيقه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توحيد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زيرا مشروط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بشرط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گنجينه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حدود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 xml:space="preserve">احکام ص </w:t>
      </w:r>
      <w:r>
        <w:rPr>
          <w:rFonts w:cs="Traditional Arabic" w:ascii="Traditional Arabic" w:hAnsi="Traditional Arabic"/>
          <w:color w:val="FF0000"/>
          <w:sz w:val="28"/>
          <w:szCs w:val="28"/>
          <w:lang w:bidi="ar-JO"/>
        </w:rPr>
        <w:t>176</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ar-JO"/>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ولی امر 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ميثاق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مقدّسی صادر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ميفرمايند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اجتماع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منوط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تعديل 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تعديل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ممکن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مستحيل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اکنون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بموجب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بيان مبيّن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اجتماع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زوجتين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جائز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توقيعات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 xml:space="preserve">مبارکه، جلد </w:t>
      </w:r>
      <w:r>
        <w:rPr>
          <w:rFonts w:cs="Traditional Arabic" w:ascii="Traditional Arabic" w:hAnsi="Traditional Arabic"/>
          <w:color w:val="FF0000"/>
          <w:sz w:val="28"/>
          <w:szCs w:val="28"/>
          <w:lang w:bidi="ar-JO"/>
        </w:rPr>
        <w:t>1</w:t>
      </w:r>
      <w:r>
        <w:rPr>
          <w:rFonts w:ascii="Traditional Arabic" w:hAnsi="Traditional Arabic" w:cs="Traditional Arabic"/>
          <w:color w:val="FF0000"/>
          <w:sz w:val="28"/>
          <w:sz w:val="28"/>
          <w:szCs w:val="28"/>
          <w:rtl w:val="true"/>
          <w:lang w:bidi="ar-JO"/>
        </w:rPr>
        <w:t xml:space="preserve">، ص </w:t>
      </w:r>
      <w:r>
        <w:rPr>
          <w:rFonts w:cs="Traditional Arabic" w:ascii="Traditional Arabic" w:hAnsi="Traditional Arabic"/>
          <w:color w:val="FF0000"/>
          <w:sz w:val="28"/>
          <w:szCs w:val="28"/>
          <w:lang w:bidi="ar-JO"/>
        </w:rPr>
        <w:t>324</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راجع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تزويج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فرمودند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نهی صريح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مشروط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بشرط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گنجينه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حدود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احکام</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 xml:space="preserve">ص </w:t>
      </w:r>
      <w:r>
        <w:rPr>
          <w:rFonts w:cs="Traditional Arabic" w:ascii="Traditional Arabic" w:hAnsi="Traditional Arabic"/>
          <w:color w:val="FF0000"/>
          <w:sz w:val="28"/>
          <w:szCs w:val="28"/>
          <w:lang w:bidi="ar-JO"/>
        </w:rPr>
        <w:t>177</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يکنفر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 دارای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ميباشد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تکليف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فرمودند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بنويس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مبارک راجع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توحيد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شامل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نفوسيکه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سابق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ميباشند نبوده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فرمودند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بنويس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تجاوز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 زوجه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کتمان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عقيده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تحذير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تأکيد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نصيحت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امنای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محفل روحانی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نتيجه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محروميّت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انتخاب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جامعه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 عضويّت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محافل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روحانيّه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انفصال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اداريست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روحانی</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قرار قطعی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نهائی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امنای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توقيعات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 xml:space="preserve">مبارکه، جلد </w:t>
      </w:r>
      <w:r>
        <w:rPr>
          <w:rFonts w:cs="Traditional Arabic" w:ascii="Traditional Arabic" w:hAnsi="Traditional Arabic"/>
          <w:color w:val="FF0000"/>
          <w:sz w:val="28"/>
          <w:szCs w:val="28"/>
          <w:lang w:bidi="ar-JO"/>
        </w:rPr>
        <w:t>3</w:t>
      </w:r>
      <w:r>
        <w:rPr>
          <w:rFonts w:ascii="Traditional Arabic" w:hAnsi="Traditional Arabic" w:cs="Traditional Arabic"/>
          <w:color w:val="FF0000"/>
          <w:sz w:val="28"/>
          <w:sz w:val="28"/>
          <w:szCs w:val="28"/>
          <w:rtl w:val="true"/>
          <w:lang w:bidi="ar-JO"/>
        </w:rPr>
        <w:t xml:space="preserve">، ص </w:t>
      </w:r>
      <w:r>
        <w:rPr>
          <w:rFonts w:cs="Traditional Arabic" w:ascii="Traditional Arabic" w:hAnsi="Traditional Arabic"/>
          <w:color w:val="FF0000"/>
          <w:sz w:val="28"/>
          <w:szCs w:val="28"/>
          <w:lang w:bidi="ar-JO"/>
        </w:rPr>
        <w:t>154</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ثانوی اختيار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نموده</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lang w:bidi="ar-JO"/>
        </w:rPr>
        <w:t>اند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جهت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محروم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انتخاب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جامعه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اند فرمودند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بنويس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طلاق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ثانيه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کسر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حدود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گشته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شرط رجوع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جامعه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منتخبات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توقيعات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 xml:space="preserve">ص </w:t>
      </w:r>
      <w:r>
        <w:rPr>
          <w:rFonts w:cs="Traditional Arabic" w:ascii="Traditional Arabic" w:hAnsi="Traditional Arabic"/>
          <w:color w:val="FF0000"/>
          <w:sz w:val="28"/>
          <w:szCs w:val="28"/>
          <w:lang w:bidi="ar-JO"/>
        </w:rPr>
        <w:t>253</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گر چه نصّ کتاب مستطاب اقدس ظاهراً تزويج ثانی را اجازه می دهد ، حضرت بهاءاللّه می فرمايند که آسايش و آسودگی خاطر وقتی ميسّر است که به همسر واحد قناعت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آن حضرت در باره اين نکته در لوحی می فرمايند که انسان بايد به نحوی عامل گردد که سبب راحت و آسايش خود و همسرش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عبدالبهاء ، مبيّن منصوص آيات اللّه در تبيين اين آيه مبارکه می فرمايند که مقصد از اين بيان مبارک فی الحقيقه زوجه واحده است و اين مطلب در بعضی الواح ذکر گرديده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از جمله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اعلمی </w:t>
      </w:r>
      <w:r>
        <w:rPr>
          <w:rFonts w:ascii="Traditional Arabic" w:hAnsi="Traditional Arabic" w:cs="Traditional Arabic"/>
          <w:sz w:val="28"/>
          <w:sz w:val="28"/>
          <w:szCs w:val="28"/>
          <w:rtl w:val="true"/>
        </w:rPr>
        <w:t>أ</w:t>
      </w:r>
      <w:r>
        <w:rPr>
          <w:rFonts w:ascii="Traditional Arabic" w:hAnsi="Traditional Arabic" w:cs="Traditional Arabic"/>
          <w:sz w:val="28"/>
          <w:sz w:val="28"/>
          <w:szCs w:val="28"/>
          <w:rtl w:val="true"/>
        </w:rPr>
        <w:t>نّ شريعة اللّه لا تجوز تعدّد الزّوجات ل</w:t>
      </w:r>
      <w:r>
        <w:rPr>
          <w:rFonts w:ascii="Traditional Arabic" w:hAnsi="Traditional Arabic" w:cs="Traditional Arabic"/>
          <w:sz w:val="28"/>
          <w:sz w:val="28"/>
          <w:szCs w:val="28"/>
          <w:rtl w:val="true"/>
        </w:rPr>
        <w:t>أ</w:t>
      </w:r>
      <w:r>
        <w:rPr>
          <w:rFonts w:ascii="Traditional Arabic" w:hAnsi="Traditional Arabic" w:cs="Traditional Arabic"/>
          <w:sz w:val="28"/>
          <w:sz w:val="28"/>
          <w:szCs w:val="28"/>
          <w:rtl w:val="true"/>
        </w:rPr>
        <w:t>نّها صر</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حت بالقناعة بواحدة منها و شَرَطَ الزّوجة الثّانية بالقسط و العدالة بينهما فی جميع المراتب و ال</w:t>
      </w:r>
      <w:r>
        <w:rPr>
          <w:rFonts w:ascii="Traditional Arabic" w:hAnsi="Traditional Arabic" w:cs="Traditional Arabic"/>
          <w:sz w:val="28"/>
          <w:sz w:val="28"/>
          <w:szCs w:val="28"/>
          <w:rtl w:val="true"/>
        </w:rPr>
        <w:t>أ</w:t>
      </w:r>
      <w:r>
        <w:rPr>
          <w:rFonts w:ascii="Traditional Arabic" w:hAnsi="Traditional Arabic" w:cs="Traditional Arabic"/>
          <w:sz w:val="28"/>
          <w:sz w:val="28"/>
          <w:szCs w:val="28"/>
          <w:rtl w:val="true"/>
        </w:rPr>
        <w:t>حوال ف</w:t>
      </w:r>
      <w:r>
        <w:rPr>
          <w:rFonts w:ascii="Traditional Arabic" w:hAnsi="Traditional Arabic" w:cs="Traditional Arabic"/>
          <w:sz w:val="28"/>
          <w:sz w:val="28"/>
          <w:szCs w:val="28"/>
          <w:rtl w:val="true"/>
        </w:rPr>
        <w:t>أ</w:t>
      </w:r>
      <w:r>
        <w:rPr>
          <w:rFonts w:ascii="Traditional Arabic" w:hAnsi="Traditional Arabic" w:cs="Traditional Arabic"/>
          <w:sz w:val="28"/>
          <w:sz w:val="28"/>
          <w:szCs w:val="28"/>
          <w:rtl w:val="true"/>
        </w:rPr>
        <w:t>مّا العدل و القسط بين الز</w:t>
      </w:r>
      <w:r>
        <w:rPr>
          <w:rFonts w:ascii="Traditional Arabic" w:hAnsi="Traditional Arabic" w:cs="Traditional Arabic"/>
          <w:sz w:val="28"/>
          <w:sz w:val="28"/>
          <w:szCs w:val="28"/>
          <w:rtl w:val="true"/>
          <w:lang w:bidi="fa-IR"/>
        </w:rPr>
        <w:t>ّ</w:t>
      </w:r>
      <w:r>
        <w:rPr>
          <w:rFonts w:ascii="Traditional Arabic" w:hAnsi="Traditional Arabic" w:cs="Traditional Arabic"/>
          <w:sz w:val="28"/>
          <w:sz w:val="28"/>
          <w:szCs w:val="28"/>
          <w:rtl w:val="true"/>
        </w:rPr>
        <w:t>وجتين من المستحيل و الممتنعات و تعليق هذا ال</w:t>
      </w:r>
      <w:r>
        <w:rPr>
          <w:rFonts w:ascii="Traditional Arabic" w:hAnsi="Traditional Arabic" w:cs="Traditional Arabic"/>
          <w:sz w:val="28"/>
          <w:sz w:val="28"/>
          <w:szCs w:val="28"/>
          <w:rtl w:val="true"/>
        </w:rPr>
        <w:t>أ</w:t>
      </w:r>
      <w:r>
        <w:rPr>
          <w:rFonts w:ascii="Traditional Arabic" w:hAnsi="Traditional Arabic" w:cs="Traditional Arabic"/>
          <w:sz w:val="28"/>
          <w:sz w:val="28"/>
          <w:szCs w:val="28"/>
          <w:rtl w:val="true"/>
        </w:rPr>
        <w:t>مر بشیء</w:t>
      </w:r>
      <w:r>
        <w:rPr>
          <w:rFonts w:ascii="Traditional Arabic" w:hAnsi="Traditional Arabic" w:cs="Traditional Arabic"/>
          <w:sz w:val="28"/>
          <w:sz w:val="28"/>
          <w:szCs w:val="28"/>
          <w:rtl w:val="true"/>
          <w:lang w:bidi="fa-IR"/>
        </w:rPr>
        <w:t xml:space="preserve"> </w:t>
      </w:r>
      <w:r>
        <w:rPr>
          <w:rFonts w:ascii="Traditional Arabic" w:hAnsi="Traditional Arabic" w:cs="Traditional Arabic"/>
          <w:sz w:val="28"/>
          <w:sz w:val="28"/>
          <w:szCs w:val="28"/>
          <w:rtl w:val="true"/>
        </w:rPr>
        <w:t xml:space="preserve">ممتنع الوجود دليل واضح علی عدم جوازه بوجه من الوجوه فلذلک لا يجوز </w:t>
      </w:r>
      <w:r>
        <w:rPr>
          <w:rFonts w:ascii="Traditional Arabic" w:hAnsi="Traditional Arabic" w:cs="Traditional Arabic"/>
          <w:sz w:val="28"/>
          <w:sz w:val="28"/>
          <w:szCs w:val="28"/>
          <w:rtl w:val="true"/>
        </w:rPr>
        <w:t>إ</w:t>
      </w:r>
      <w:r>
        <w:rPr>
          <w:rFonts w:ascii="Traditional Arabic" w:hAnsi="Traditional Arabic" w:cs="Traditional Arabic"/>
          <w:sz w:val="28"/>
          <w:sz w:val="28"/>
          <w:szCs w:val="28"/>
          <w:rtl w:val="true"/>
        </w:rPr>
        <w:t xml:space="preserve">لّا امرأة واحدة لکلّ </w:t>
      </w:r>
      <w:r>
        <w:rPr>
          <w:rFonts w:ascii="Traditional Arabic" w:hAnsi="Traditional Arabic" w:cs="Traditional Arabic"/>
          <w:sz w:val="28"/>
          <w:sz w:val="28"/>
          <w:szCs w:val="28"/>
          <w:rtl w:val="true"/>
        </w:rPr>
        <w:t>إ</w:t>
      </w:r>
      <w:r>
        <w:rPr>
          <w:rFonts w:ascii="Traditional Arabic" w:hAnsi="Traditional Arabic" w:cs="Traditional Arabic"/>
          <w:sz w:val="28"/>
          <w:sz w:val="28"/>
          <w:szCs w:val="28"/>
          <w:rtl w:val="true"/>
        </w:rPr>
        <w:t xml:space="preserve">نسان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تعدّد زوجات يک سنّت بسيار قديمی در بين اکثر جوامع بشری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مظاهر الهی به مرور زمان مردم را برای اختيار همسر واحد آماده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مثلاً حضرت مسيح تعدّد زوجات را تحريم نفرمود ، فقط امر طلاق را ، مگر در مورد ارتکاب زنا ، منسوخ داشت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حضرت محمّد تعداد زوجات را منحصر به چهار فرمود ، اما اجرای عدالت را شرط لازم برای اختيار بيش از يک همسر مقرّر داشت و طلاق را نيز اجازه فرمود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بهاءاللّه که احکام و تعاليم خويش را در محيط اسلامی نازل فرمود ، حکم اختيار زوجه واحده را با رعايت حکمت تدريجاً اظهار فرمود نه دفعةً واحدةً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اقدس ابهی به صورت ظاهر اختيار دو زوجه را در کتاب مستطاب اقدس اجازت فرمودند و در عين حال با تعيين مبيّنی مصون از خطا شرايطی را به وجود آوردند که به موجب آن حضرت عبدالبهاء را قادر ساخت تا چنين تبيين فرمايند که مقصد از اين حکم اکتفا به زوجه واحده است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89</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ascii="Traditional Arabic" w:hAnsi="Traditional Arabic" w:cs="Traditional Arabic"/>
          <w:b/>
          <w:b/>
          <w:bCs/>
          <w:sz w:val="28"/>
          <w:szCs w:val="28"/>
          <w:lang w:bidi="fa-IR"/>
        </w:rPr>
      </w:pPr>
      <w:r>
        <w:rPr>
          <w:rFonts w:cs="Traditional Arabic" w:ascii="Traditional Arabic" w:hAnsi="Traditional Arabic"/>
          <w:b/>
          <w:bCs/>
          <w:sz w:val="28"/>
          <w:szCs w:val="28"/>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sz w:val="24"/>
        <w:szCs w:val="24"/>
        <w:lang w:bidi="fa-IR"/>
      </w:rPr>
    </w:pPr>
    <w:r>
      <w:rPr>
        <w:rFonts w:ascii="Traditional Arabic" w:hAnsi="Traditional Arabic" w:cs="Traditional Arabic"/>
        <w:sz w:val="24"/>
        <w:sz w:val="24"/>
        <w:szCs w:val="24"/>
        <w:rtl w:val="true"/>
        <w:lang w:bidi="fa-IR"/>
      </w:rPr>
      <w:t>نهی از تعدّد زوجات</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