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الضّيافة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التّسع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عشريّة</w:t>
      </w:r>
      <w:r>
        <w:rPr>
          <w:rFonts w:cs="Traditional Arabic" w:ascii="Traditional Arabic" w:hAnsi="Traditional Arabic"/>
          <w:b/>
          <w:bCs/>
          <w:color w:val="0000CC"/>
          <w:sz w:val="56"/>
          <w:szCs w:val="56"/>
          <w:rtl w:val="true"/>
          <w:lang w:bidi="fa-IR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pacing w:val="-4"/>
          <w:sz w:val="28"/>
          <w:szCs w:val="28"/>
        </w:rPr>
      </w:pPr>
      <w:r>
        <w:rPr>
          <w:rFonts w:cs="Traditional Arabic" w:ascii="Traditional Arabic" w:hAnsi="Traditional Arabic"/>
          <w:spacing w:val="-4"/>
          <w:sz w:val="28"/>
          <w:szCs w:val="28"/>
        </w:rPr>
        <w:t>1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>–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 " 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قد رقم عليكم الضّيافة في كلّ شهر مرّة واحدة ولو بالم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  <w:lang w:bidi="ar-JO"/>
        </w:rPr>
        <w:t>آ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>ء إن الله أراد أن يؤلّف بين القلوب ولو بأسباب السّموات والأرضين</w:t>
      </w:r>
      <w:r>
        <w:rPr>
          <w:rFonts w:ascii="Traditional Arabic" w:hAnsi="Traditional Arabic" w:cs="Traditional Arabic"/>
          <w:spacing w:val="-4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pacing w:val="-4"/>
          <w:sz w:val="28"/>
          <w:szCs w:val="28"/>
          <w:rtl w:val="true"/>
        </w:rPr>
        <w:t xml:space="preserve">" 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>–</w:t>
      </w:r>
      <w:r>
        <w:rPr>
          <w:rFonts w:ascii="Traditional Arabic" w:hAnsi="Traditional Arabic" w:cs="Traditional Arabic"/>
          <w:color w:val="FF0000"/>
          <w:spacing w:val="-4"/>
          <w:sz w:val="28"/>
          <w:sz w:val="28"/>
          <w:szCs w:val="28"/>
          <w:rtl w:val="true"/>
        </w:rPr>
        <w:t xml:space="preserve"> الفقرة 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</w:rPr>
        <w:t>57</w:t>
      </w: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  <w:t xml:space="preserve">)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pacing w:val="-4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pacing w:val="-4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–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" 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رقم عليكم الضّيافة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هل هذا الحكم واجب أم لا؟</w:t>
      </w:r>
    </w:p>
    <w:p>
      <w:pPr>
        <w:pStyle w:val="PlainText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جواب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: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غير واجب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رسالة سؤال وجواب،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48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)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بیت العدل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أضحى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الأساس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تقام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الضّيافات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الدّين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حثّ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أتباعه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كتاب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>"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العربيّ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مرّة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كلّ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تسعة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للضّيافة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والألفة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وثبّت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بهاءالله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الحكم،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وبيّن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المناسبات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توطيد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الألفة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والاتّحاد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539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  <w:tab/>
      </w:r>
    </w:p>
    <w:p>
      <w:pPr>
        <w:pStyle w:val="Normal"/>
        <w:bidi w:val="1"/>
        <w:ind w:left="0" w:right="0" w:firstLine="181"/>
        <w:jc w:val="both"/>
        <w:rPr/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وكشف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بعده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تدريجيّا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تنظيم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الضّيافات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فأكّد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>عبدالبهاء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الاجتماع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يسوده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خشوع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لله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.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وعلاوة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على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مواصلة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حضرة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أمر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أهمّيّة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الطّابع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الرّوحانيّ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والاجتماعيّ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للضّيافة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التّسع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عشريّة،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أبرز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الجانب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الإداري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الاجتماع،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فنظّم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الضّيافة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وخصّص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فترة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للتّشاور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حول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شئون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الجامعة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البهائيّة،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ذلك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تبادل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الأخبار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والمراسلات</w:t>
      </w:r>
      <w:r>
        <w:rPr>
          <w:rFonts w:cs="Traditional Arabic" w:ascii="Traditional Arabic" w:hAnsi="Traditional Arabic"/>
          <w:sz w:val="28"/>
          <w:szCs w:val="28"/>
          <w:rtl w:val="true"/>
        </w:rPr>
        <w:t>.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وفي ردّ على سؤال بشأن حتميّة حكم الضّيافة، تفضّل حضرة بهاءالله أنّه ليس فرضا </w:t>
      </w:r>
      <w:r>
        <w:rPr>
          <w:rFonts w:cs="Traditional Arabic" w:ascii="Traditional Arabic" w:hAnsi="Traditional Arabic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سؤال وجواب </w:t>
      </w:r>
      <w:r>
        <w:rPr>
          <w:rFonts w:cs="Traditional Arabic" w:ascii="Traditional Arabic" w:hAnsi="Traditional Arabic"/>
          <w:sz w:val="28"/>
          <w:szCs w:val="28"/>
        </w:rPr>
        <w:t>48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)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وأبان حضرة وليّ أمر الله في رسالة كتبت بتعليماته</w:t>
      </w:r>
      <w:r>
        <w:rPr>
          <w:rFonts w:cs="Traditional Arabic" w:ascii="Traditional Arabic" w:hAnsi="Traditional Arabic"/>
          <w:sz w:val="28"/>
          <w:szCs w:val="28"/>
          <w:rtl w:val="true"/>
        </w:rPr>
        <w:t>: "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إنّ الاشتراك في الضّيافة التّسع عشريّة ليس فرضا، ولكنه مهمّ جدا، وينبغي لكلّ مؤمن أن يعتبر حضوره الضّيافة واجبا شخصي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 وامتيازا خاص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</w:rPr>
        <w:t>ا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  <w:t>.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 </w:t>
      </w:r>
      <w:r>
        <w:rPr>
          <w:rFonts w:cs="Traditional Arabic" w:ascii="Traditional Arabic" w:hAnsi="Traditional Arabic"/>
          <w:sz w:val="28"/>
          <w:szCs w:val="28"/>
          <w:rtl w:val="true"/>
        </w:rPr>
        <w:t>]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مترجم</w:t>
      </w:r>
      <w:r>
        <w:rPr>
          <w:rFonts w:cs="Traditional Arabic" w:ascii="Traditional Arabic" w:hAnsi="Traditional Arabic"/>
          <w:sz w:val="28"/>
          <w:szCs w:val="28"/>
          <w:rtl w:val="true"/>
        </w:rPr>
        <w:t>[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الكتاب الاقدس – الشرح </w:t>
      </w:r>
      <w:r>
        <w:rPr>
          <w:rFonts w:cs="Traditional Arabic" w:ascii="Traditional Arabic" w:hAnsi="Traditional Arabic"/>
          <w:color w:val="FF0000"/>
          <w:sz w:val="28"/>
          <w:szCs w:val="28"/>
        </w:rPr>
        <w:t>82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</w:rPr>
        <w:t xml:space="preserve">) </w:t>
      </w:r>
    </w:p>
    <w:p>
      <w:pPr>
        <w:pStyle w:val="Normal"/>
        <w:bidi w:val="1"/>
        <w:ind w:left="0" w:right="0" w:hanging="0"/>
        <w:jc w:val="left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</w:rPr>
    </w:pPr>
    <w:r>
      <w:rPr>
        <w:rFonts w:cs="Courier New" w:ascii="Courier New" w:hAnsi="Courier New"/>
        <w:color w:val="0000FF"/>
        <w:sz w:val="24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