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السّنة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البهائيّة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إنّ عدّة الشّهور تسعة عشر شهرا في كتاب الله قد زيّن أوّلها بهذا الاسم المهيمن على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الأيّام الزّآئدة عن الشّهور قبل شهر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إنّا جعلناها مظاهر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بين اللّيالي والأيّام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والشّهور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كتبنا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الصّيام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معدودات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ركنان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المؤمنون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10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الأساس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للتّعبّد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والتّأمّل،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لتجديد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المؤمن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يسعى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أثناءها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لتقويم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وجدانه،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وإنعاش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ذاته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فأهمّيّة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وغايتها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أساسا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فالصّوم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للصّائم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ويرمز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للكفّ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الأنانيّة،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والشّهوات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الجسديّة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  <w:tab/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ومؤمنة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فقرة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وينتهي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وطبقا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التّالي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بالصّوم،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خاتمته،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وأسماه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الشّماليّ،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الاحتفال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انتقالها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بدقيقة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كثيرا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لتشريع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يقتضي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سطح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لاتّخاذها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مقياسا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متروك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يتّبع التّقويم البهائيّ السّنة الشّمسيّة الّتي تتألّف من </w:t>
      </w:r>
      <w:r>
        <w:rPr>
          <w:rFonts w:cs="Traditional Arabic" w:ascii="Traditional Arabic" w:hAnsi="Traditional Arabic"/>
          <w:sz w:val="28"/>
          <w:szCs w:val="28"/>
        </w:rPr>
        <w:t>365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يوما وخمس ساعات وخمسين دقيقة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وتتألّف السّنة البهائيّة من تسعة عشر شهرا، كلّ شهر منها تسعة عشر يوما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فيكون المجموع </w:t>
      </w:r>
      <w:r>
        <w:rPr>
          <w:rFonts w:cs="Traditional Arabic" w:ascii="Traditional Arabic" w:hAnsi="Traditional Arabic"/>
          <w:sz w:val="28"/>
          <w:szCs w:val="28"/>
        </w:rPr>
        <w:t>361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يضاف إلى ذلك الأيّام الزّائدة وهي أربعة أيّام، أو خمسة أيّام في السّنوات الكبيسة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ولم يحدّد حضرة الباب موضع الأيّام الزّائدة في التّقويم الجديد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ولكن أتى الكتاب الأقدس بجواب هذه المسألة فوضع الأيّام الزّائدة قبل أوّل شهر العلاء مباشرة، أي قبل دخول الصّوم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ولمزيد من التّفصيل انظر الجزء الخاص بالتّقويم البديع، المجلّد الثّامن عشر من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العالم 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</w:rPr>
        <w:t>The Bahá'í World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أوصى حضرة بهاءالله بإقامة الولائم، والضّيافة، والإنفاق على الفقراء والمساكين، احتفالا بأيّام الهاء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وتشرح رسالة كتبت بناء على تعليمات من حضرة وليّ أمر الله أنّ الأيّام الزّائدة هذه مخصّصة للض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يافة وتقديم الهدايا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”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قرّره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مبشّره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انظر الشّرح فقرة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وإضافة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إحياء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واعتبر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ونهج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المناسبات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ليصبح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العطلات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بإحياء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مناسبتين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أخريين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والميثاق،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مركز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والميثاق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المجلّد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18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الشّهور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شهرا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الله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تتألّف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بالإضافة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وعدّتها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البسيطة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الكبيسة،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أطلق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الحسنى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فلكيّا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" "</w:t>
      </w:r>
      <w:r>
        <w:rPr>
          <w:rFonts w:cs="Traditional Arabic" w:ascii="Traditional Arabic" w:hAnsi="Traditional Arabic"/>
          <w:sz w:val="28"/>
          <w:szCs w:val="28"/>
        </w:rPr>
        <w:t>The Bahá'í World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المجلّد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قد زيّن أوّلها بهذا الاسم المهيمن على العالمين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ميّز حضرة الباب في كتاب البيان الفارسيّ الشّهر الأوّل من شهور السّنة بنسبته إلى اسم الله الأعظم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بهاء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>. 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