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نهی از حرق عمدى</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b/>
          <w:b/>
          <w:bCs/>
          <w:spacing w:val="-6"/>
          <w:sz w:val="28"/>
          <w:szCs w:val="28"/>
          <w:lang w:bidi="ar-JO"/>
        </w:rPr>
      </w:pPr>
      <w:r>
        <w:rPr>
          <w:rFonts w:cs="Traditional Arabic" w:ascii="Traditional Arabic" w:hAnsi="Traditional Arabic"/>
          <w:b/>
          <w:bCs/>
          <w:spacing w:val="-6"/>
          <w:sz w:val="28"/>
          <w:szCs w:val="28"/>
          <w:rtl w:val="true"/>
          <w:lang w:bidi="ar-JO"/>
        </w:rPr>
      </w:r>
    </w:p>
    <w:p>
      <w:pPr>
        <w:pStyle w:val="PlainText"/>
        <w:bidi w:val="1"/>
        <w:ind w:left="0" w:right="0" w:hanging="0"/>
        <w:jc w:val="both"/>
        <w:rPr/>
      </w:pPr>
      <w:r>
        <w:rPr>
          <w:rFonts w:cs="Traditional Arabic" w:ascii="Traditional Arabic" w:hAnsi="Traditional Arabic"/>
          <w:spacing w:val="-6"/>
          <w:sz w:val="28"/>
          <w:szCs w:val="28"/>
          <w:lang w:bidi="ar-JO"/>
        </w:rPr>
        <w:t>1</w:t>
      </w:r>
      <w:r>
        <w:rPr>
          <w:rFonts w:cs="Traditional Arabic" w:ascii="Traditional Arabic" w:hAnsi="Traditional Arabic"/>
          <w:spacing w:val="-6"/>
          <w:sz w:val="28"/>
          <w:szCs w:val="28"/>
          <w:rtl w:val="true"/>
          <w:lang w:bidi="ar-JO"/>
        </w:rPr>
        <w:t xml:space="preserve"> - " </w:t>
      </w:r>
      <w:r>
        <w:rPr>
          <w:rFonts w:ascii="Traditional Arabic" w:hAnsi="Traditional Arabic" w:cs="Traditional Arabic"/>
          <w:spacing w:val="-6"/>
          <w:sz w:val="28"/>
          <w:sz w:val="28"/>
          <w:szCs w:val="28"/>
          <w:rtl w:val="true"/>
          <w:lang w:bidi="ar-JO"/>
        </w:rPr>
        <w:t xml:space="preserve">من أحرق بيتًا مُتَعَمِّدًا فَأَحْرِقُوهُ </w:t>
      </w:r>
      <w:r>
        <w:rPr>
          <w:rFonts w:ascii="Traditional Arabic" w:hAnsi="Traditional Arabic" w:cs="Traditional Arabic"/>
          <w:spacing w:val="-6"/>
          <w:sz w:val="28"/>
          <w:sz w:val="28"/>
          <w:szCs w:val="28"/>
          <w:rtl w:val="true"/>
        </w:rPr>
        <w:t>ومن قتل نفسا عامِدًا فاقتلوه خذوا سنن الله بأيادي القدرة</w:t>
      </w:r>
      <w:r>
        <w:rPr>
          <w:rFonts w:ascii="Traditional Arabic" w:hAnsi="Traditional Arabic" w:cs="Traditional Arabic"/>
          <w:spacing w:val="-6"/>
          <w:sz w:val="28"/>
          <w:sz w:val="28"/>
          <w:szCs w:val="28"/>
          <w:rtl w:val="true"/>
          <w:lang w:bidi="ar-JO"/>
        </w:rPr>
        <w:t xml:space="preserve"> و</w:t>
      </w:r>
      <w:r>
        <w:rPr>
          <w:rFonts w:ascii="Traditional Arabic" w:hAnsi="Traditional Arabic" w:cs="Traditional Arabic"/>
          <w:spacing w:val="-6"/>
          <w:sz w:val="28"/>
          <w:sz w:val="28"/>
          <w:szCs w:val="28"/>
          <w:rtl w:val="true"/>
        </w:rPr>
        <w:t xml:space="preserve">الاقتدار ثمّ اتركوا سنن الجاهلين </w:t>
      </w:r>
      <w:r>
        <w:rPr>
          <w:rFonts w:eastAsia="Wingdings 2" w:cs="Wingdings 2" w:ascii="Wingdings 2" w:hAnsi="Wingdings 2"/>
          <w:sz w:val="28"/>
          <w:szCs w:val="28"/>
        </w:rPr>
        <w:t>õ</w:t>
      </w:r>
      <w:r>
        <w:rPr>
          <w:rFonts w:cs="Traditional Arabic" w:ascii="Traditional Arabic" w:hAnsi="Traditional Arabic"/>
          <w:spacing w:val="-6"/>
          <w:sz w:val="28"/>
          <w:szCs w:val="28"/>
          <w:rtl w:val="true"/>
        </w:rPr>
        <w:t xml:space="preserve"> </w:t>
      </w:r>
      <w:r>
        <w:rPr>
          <w:rFonts w:ascii="Traditional Arabic" w:hAnsi="Traditional Arabic" w:cs="Traditional Arabic"/>
          <w:spacing w:val="-6"/>
          <w:sz w:val="28"/>
          <w:sz w:val="28"/>
          <w:szCs w:val="28"/>
          <w:rtl w:val="true"/>
        </w:rPr>
        <w:t>وإن</w:t>
      </w:r>
      <w:r>
        <w:rPr>
          <w:rFonts w:ascii="Traditional Arabic" w:hAnsi="Traditional Arabic" w:cs="Traditional Arabic"/>
          <w:spacing w:val="-6"/>
          <w:sz w:val="28"/>
          <w:sz w:val="28"/>
          <w:szCs w:val="28"/>
          <w:rtl w:val="true"/>
        </w:rPr>
        <w:t xml:space="preserve"> </w:t>
      </w:r>
      <w:r>
        <w:rPr>
          <w:rFonts w:ascii="Traditional Arabic" w:hAnsi="Traditional Arabic" w:cs="Traditional Arabic"/>
          <w:spacing w:val="-6"/>
          <w:sz w:val="28"/>
          <w:sz w:val="28"/>
          <w:szCs w:val="28"/>
          <w:rtl w:val="true"/>
        </w:rPr>
        <w:t>تحكموا لهما حبسا أبدي</w:t>
      </w:r>
      <w:r>
        <w:rPr>
          <w:rFonts w:ascii="Traditional Arabic" w:hAnsi="Traditional Arabic" w:cs="Traditional Arabic"/>
          <w:spacing w:val="-6"/>
          <w:sz w:val="28"/>
          <w:sz w:val="28"/>
          <w:szCs w:val="28"/>
          <w:rtl w:val="true"/>
          <w:lang w:bidi="ar-JO"/>
        </w:rPr>
        <w:t>ّ</w:t>
      </w:r>
      <w:r>
        <w:rPr>
          <w:rFonts w:ascii="Traditional Arabic" w:hAnsi="Traditional Arabic" w:cs="Traditional Arabic"/>
          <w:spacing w:val="-6"/>
          <w:sz w:val="28"/>
          <w:sz w:val="28"/>
          <w:szCs w:val="28"/>
          <w:rtl w:val="true"/>
        </w:rPr>
        <w:t xml:space="preserve">ا لا بأس عليكم في الكتاب إنّه لهو الحاكم على ما يريد </w:t>
      </w:r>
      <w:r>
        <w:rPr>
          <w:rFonts w:cs="Traditional Arabic" w:ascii="Traditional Arabic" w:hAnsi="Traditional Arabic"/>
          <w:spacing w:val="-6"/>
          <w:sz w:val="28"/>
          <w:szCs w:val="28"/>
          <w:rtl w:val="true"/>
        </w:rPr>
        <w:t xml:space="preserve">"  </w:t>
      </w:r>
      <w:r>
        <w:rPr>
          <w:rFonts w:cs="Traditional Arabic" w:ascii="Traditional Arabic" w:hAnsi="Traditional Arabic"/>
          <w:color w:val="FF0000"/>
          <w:spacing w:val="-6"/>
          <w:sz w:val="28"/>
          <w:szCs w:val="28"/>
          <w:rtl w:val="true"/>
        </w:rPr>
        <w:t>(</w:t>
      </w:r>
      <w:r>
        <w:rPr>
          <w:rFonts w:ascii="Traditional Arabic" w:hAnsi="Traditional Arabic" w:cs="Traditional Arabic"/>
          <w:color w:val="FF0000"/>
          <w:spacing w:val="-6"/>
          <w:sz w:val="28"/>
          <w:sz w:val="28"/>
          <w:szCs w:val="28"/>
          <w:rtl w:val="true"/>
        </w:rPr>
        <w:t xml:space="preserve">كتاب اقدس </w:t>
      </w:r>
      <w:r>
        <w:rPr>
          <w:rFonts w:cs="Traditional Arabic" w:ascii="Traditional Arabic" w:hAnsi="Traditional Arabic"/>
          <w:color w:val="FF0000"/>
          <w:spacing w:val="-6"/>
          <w:sz w:val="28"/>
          <w:szCs w:val="28"/>
          <w:rtl w:val="true"/>
        </w:rPr>
        <w:t xml:space="preserve">-  </w:t>
      </w:r>
      <w:r>
        <w:rPr>
          <w:rFonts w:ascii="Traditional Arabic" w:hAnsi="Traditional Arabic" w:cs="Traditional Arabic"/>
          <w:color w:val="FF0000"/>
          <w:spacing w:val="-6"/>
          <w:sz w:val="28"/>
          <w:sz w:val="28"/>
          <w:szCs w:val="28"/>
          <w:rtl w:val="true"/>
        </w:rPr>
        <w:t xml:space="preserve">بند </w:t>
      </w:r>
      <w:r>
        <w:rPr>
          <w:rFonts w:cs="Traditional Arabic" w:ascii="Traditional Arabic" w:hAnsi="Traditional Arabic"/>
          <w:color w:val="FF0000"/>
          <w:spacing w:val="-6"/>
          <w:sz w:val="28"/>
          <w:szCs w:val="28"/>
        </w:rPr>
        <w:t>62</w:t>
      </w:r>
      <w:r>
        <w:rPr>
          <w:rFonts w:cs="Traditional Arabic" w:ascii="Traditional Arabic" w:hAnsi="Traditional Arabic"/>
          <w:color w:val="FF0000"/>
          <w:spacing w:val="-6"/>
          <w:sz w:val="28"/>
          <w:szCs w:val="28"/>
          <w:rtl w:val="true"/>
        </w:rPr>
        <w:t>)</w:t>
      </w:r>
      <w:r>
        <w:rPr>
          <w:rFonts w:cs="Traditional Arabic" w:ascii="Traditional Arabic" w:hAnsi="Traditional Arabic"/>
          <w:spacing w:val="-6"/>
          <w:sz w:val="28"/>
          <w:szCs w:val="28"/>
          <w:rtl w:val="true"/>
        </w:rPr>
        <w:t xml:space="preserve"> </w:t>
      </w:r>
    </w:p>
    <w:p>
      <w:pPr>
        <w:pStyle w:val="PlainText"/>
        <w:bidi w:val="1"/>
        <w:ind w:left="0" w:right="0" w:hanging="0"/>
        <w:jc w:val="both"/>
        <w:rPr>
          <w:rFonts w:ascii="Traditional Arabic" w:hAnsi="Traditional Arabic" w:cs="Traditional Arabic"/>
          <w:color w:val="FF0000"/>
          <w:spacing w:val="-6"/>
          <w:sz w:val="28"/>
          <w:szCs w:val="28"/>
        </w:rPr>
      </w:pPr>
      <w:r>
        <w:rPr>
          <w:rFonts w:cs="Traditional Arabic" w:ascii="Traditional Arabic" w:hAnsi="Traditional Arabic"/>
          <w:color w:val="FF0000"/>
          <w:spacing w:val="-6"/>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حضرت بهاءاللّه فرموده‌اند که قتل نفس و حرق بيوت به طور عمد مجازاتش اعدام است ، هر چند به جای اعدام حبس ابد نيز مجاز است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يادداشت </w:t>
      </w:r>
      <w:r>
        <w:rPr>
          <w:rFonts w:ascii="Traditional Arabic" w:hAnsi="Traditional Arabic" w:cs="Traditional Arabic"/>
          <w:sz w:val="28"/>
          <w:sz w:val="28"/>
          <w:szCs w:val="28"/>
        </w:rPr>
        <w:t>٨٧</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حضرت عبدالبهاء در آثار مبارکه فرق بين مجازات و انتقام را بيان و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إ</w:t>
      </w:r>
      <w:r>
        <w:rPr>
          <w:rFonts w:ascii="Traditional Arabic" w:hAnsi="Traditional Arabic" w:cs="Traditional Arabic"/>
          <w:sz w:val="28"/>
          <w:sz w:val="28"/>
          <w:szCs w:val="28"/>
          <w:rtl w:val="true"/>
        </w:rPr>
        <w:t>نّ البشر ليس له حقّ الانتقام ل</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rPr>
        <w:t xml:space="preserve">نّ الانتقام </w:t>
      </w:r>
      <w:r>
        <w:rPr>
          <w:rFonts w:ascii="Traditional Arabic" w:hAnsi="Traditional Arabic" w:cs="Traditional Arabic"/>
          <w:sz w:val="28"/>
          <w:sz w:val="28"/>
          <w:szCs w:val="28"/>
          <w:rtl w:val="true"/>
        </w:rPr>
        <w:t>أ</w:t>
      </w:r>
      <w:r>
        <w:rPr>
          <w:rFonts w:ascii="Traditional Arabic" w:hAnsi="Traditional Arabic" w:cs="Traditional Arabic"/>
          <w:sz w:val="28"/>
          <w:sz w:val="28"/>
          <w:szCs w:val="28"/>
          <w:rtl w:val="true"/>
        </w:rPr>
        <w:t>مر مبغوض مذموم 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 xml:space="preserve">اللّه ولی مقصد از مجازات انتقام نيست بلکه اجرای حکم در حقّ مجرم است چنانکه در کتاب مبارک مفاوضات تأييد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هيأت اجتماعيّه حقّ قصاص را از مجرم دارند و اين قصاص به جهت ردع و منع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در اين باره در توقيعی که حسب الامر مبارک صادر گشته چنين توضيح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کتاب مستطاب اقدس حضرت بهاءاللّه مجازات قتل را اعدام مقرّر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امّا به جای آن حبس ابد را نيز اجازه داده‌اند و هر دو با احکام مبارک تطابق دارد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ممکن است بعضی از ما با بينش محدود خود حکمت بالغه اين حکم را درک ننمائيم ، ولی بايد آن را بپذيريم و بدانيم که مراتب حکمت و رحمت و عدالت مُنزل آن کامل و فی الحقيقه کافل نجات اهل عالم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نفسی سهواً محکوم به مرگ گردد ، آيا نبايد معتقد بود که خداوند مقتدر و توانا چنين بی عدالتی در اين جهان را هزاران برابر در جهان ديگر جبران فرمايد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البتّه نميتوان به خاطر اين احتمال نادر الوقوع که ممکن است يک فرد بی گناه سهواً مجازات شود از اين حکمی که نفعش به عموم راجع است صرف نظر کرد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جزئيّات مجازات قتل و حرق را که به هيأت اجتماعيّه آينده تعلّق دارد نازل نفرموده‌اند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فرعيّات اين احکام، از قبيل اينکه درجات جرم تا چه حدّ است و آيا بايد عوامل مؤثّر در تخفيف جرم را منظور داشت ، و کدام يک از دو نوع مجازات بايد مجری گردد کلّاً به بيت العدل اعظم محوّل گشته که با ملاحظه شرايط زمان در وقت اجرای حکم تصميمات لازم را اتخاذ نمايند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نحوه اجرای حکم نيز به بيت العدل اعظم راجع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مورد حرق ، حدّ مجازات وابسته به اين است که چه مکانی مورد حرق قرار گرفته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بدون شک مجرمی که انباری خالی را آتش زند و کسی که مدرسه‌ای پر از کودک را بسوزاند درجات جرمشان تفاوت بسيار دارد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86</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both"/>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در جواب سؤالی از اين آيه کتاب مستطاب اقدس حضرت وليّ امراللّه تصريح فرموده‌اند که گر چه به حکم کتاب قاتل را ميتوان اعدام نمود ولی به جای آن حبس ابد نيز جايز است و به اين وسيله از شدّت مجازات به مراتب کاسته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همچنين می فرمايند که جمال مبارک حقّ انتخاب بين اين دو حکم را عنايت فرموده و جامعه بشری را مختار ساخته‌اند که با در نظر گرفتن جوانب اين حکم آنچه مقتضی باشد مجری 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چون دستورات صريح و مشخّص در باره تنفيذ اين حکم موجود نيست لهذا در آتيه تشريع قوانين مربوط به اين امر به بيت العدل اعظم راجع است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87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ascii="Traditional Arabic" w:hAnsi="Traditional Arabic" w:cs="Traditional Arabic"/>
          <w:b/>
          <w:b/>
          <w:bCs/>
          <w:sz w:val="28"/>
          <w:szCs w:val="28"/>
          <w:lang w:bidi="fa-IR"/>
        </w:rPr>
      </w:pPr>
      <w:r>
        <w:rPr>
          <w:rFonts w:cs="Traditional Arabic" w:ascii="Traditional Arabic" w:hAnsi="Traditional Arabic"/>
          <w:b/>
          <w:bCs/>
          <w:sz w:val="28"/>
          <w:szCs w:val="28"/>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left"/>
      <w:rPr>
        <w:rFonts w:ascii="Traditional Arabic" w:hAnsi="Traditional Arabic" w:cs="Traditional Arabic"/>
        <w:sz w:val="24"/>
        <w:szCs w:val="24"/>
        <w:lang w:bidi="fa-IR"/>
      </w:rPr>
    </w:pPr>
    <w:r>
      <w:rPr>
        <w:rFonts w:ascii="Traditional Arabic" w:hAnsi="Traditional Arabic" w:cs="Traditional Arabic"/>
        <w:sz w:val="24"/>
        <w:sz w:val="24"/>
        <w:szCs w:val="24"/>
        <w:rtl w:val="true"/>
        <w:lang w:bidi="fa-IR"/>
      </w:rPr>
      <w:t>نهی از حرق عمدى</w:t>
    </w:r>
  </w:p>
  <w:p>
    <w:pPr>
      <w:pStyle w:val="Header"/>
      <w:jc w:val="right"/>
      <w:rPr>
        <w:rFonts w:ascii="Arial" w:hAnsi="Arial" w:cs="Arial"/>
        <w:color w:val="000000"/>
        <w:sz w:val="24"/>
        <w:szCs w:val="24"/>
        <w:lang w:bidi="fa-IR"/>
      </w:rPr>
    </w:pPr>
    <w:r>
      <w:rPr>
        <w:rFonts w:cs="Arial" w:ascii="Arial" w:hAnsi="Arial"/>
        <w:color w:val="000000"/>
        <w:sz w:val="24"/>
        <w:szCs w:val="24"/>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