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البلوغ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فُرِضَ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الصَّلوةُ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والصّوْمُ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الْبُلُوْغِ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لَدَی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رَبّکُمْ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وَرَبِّ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آبَائِکُمُ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التّكاليف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الشّرعيّة؟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للنّساء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السّواء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.".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2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pacing w:val="-2"/>
          <w:sz w:val="32"/>
          <w:sz w:val="32"/>
          <w:szCs w:val="32"/>
          <w:rtl w:val="true"/>
          <w:lang w:bidi="ar-JO"/>
        </w:rPr>
        <w:t>سنّ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pacing w:val="-2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pacing w:val="-2"/>
          <w:sz w:val="32"/>
          <w:sz w:val="32"/>
          <w:szCs w:val="32"/>
          <w:rtl w:val="true"/>
          <w:lang w:bidi="ar-JO"/>
        </w:rPr>
        <w:t>البلوغ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pacing w:val="-2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pacing w:val="-2"/>
          <w:sz w:val="32"/>
          <w:sz w:val="32"/>
          <w:szCs w:val="32"/>
          <w:rtl w:val="true"/>
          <w:lang w:bidi="ar-JO"/>
        </w:rPr>
        <w:t>الشّرعي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بخمسة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عاما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للذّكور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والإناث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السّواء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20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25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مدّة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وتفاصيله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منتخبة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ثلاثة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مستويات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محلّيّا،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ووطنيّا،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وعالميّا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الوصايا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الثّانويّ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الإقليميّ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الوطنيّ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أعلاه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تنتخب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يبلغ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البالغين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المقيمين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أكثر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/>
          <w:i/>
          <w:iCs/>
          <w:color w:val="000000"/>
          <w:sz w:val="28"/>
          <w:sz w:val="28"/>
          <w:szCs w:val="28"/>
          <w:rtl w:val="true"/>
          <w:lang w:bidi="ar-JO"/>
        </w:rPr>
        <w:t>مؤقّتا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z w:val="28"/>
          <w:sz w:val="28"/>
          <w:szCs w:val="28"/>
          <w:rtl w:val="true"/>
          <w:lang w:bidi="ar-JO"/>
        </w:rPr>
        <w:t>البلوغ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i/>
          <w:iCs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b/>
          <w:b/>
          <w:bCs/>
          <w:i/>
          <w:i/>
          <w:iCs/>
          <w:color w:val="FF0000"/>
          <w:sz w:val="28"/>
          <w:sz w:val="28"/>
          <w:szCs w:val="28"/>
          <w:rtl w:val="true"/>
          <w:lang w:bidi="ar-JO"/>
        </w:rPr>
        <w:t>الاداري</w:t>
      </w:r>
      <w:r>
        <w:rPr>
          <w:rFonts w:cs="Traditional Arabic" w:ascii="Traditional Arabic" w:hAnsi="Traditional Arabic"/>
          <w:b/>
          <w:bCs/>
          <w:i/>
          <w:iCs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الغرض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بواحد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وعشرين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عاما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تغييره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وتسمّى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والثّانويّة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المحلّيّة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والمركزيّة،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التّسمية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مؤقّتة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قائلا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تزداد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أهداف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ومكانته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وضوحا،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ويتمّ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تقديرهما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أكمل،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ستعرف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الهيئات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تدريجيّا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باسمها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الدّائم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الملائم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يختلف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مستقبلا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طرز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المحافل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الحاليّة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فحسب،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سيمكنها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تضيف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وظائفها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الحاليّة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الصّلاحيّات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والمسؤوليّات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والامتيازات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سيفرضها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بدين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بوصفه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النّظم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المعترف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فقط،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وإنّما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بوصفه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الرّسميّ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لدولة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مستقلّة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وذات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سيادة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]"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51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