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3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ab/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زنا</w:t>
      </w:r>
    </w:p>
    <w:p>
      <w:pPr>
        <w:pStyle w:val="Normal"/>
        <w:tabs>
          <w:tab w:val="left" w:pos="363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tabs>
          <w:tab w:val="left" w:pos="363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حرّم عليكم القتل والزّنا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الغيبة والافتر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اجتنبوا 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نهيتم عنه في الصّح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ئف والألواح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2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قد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 ح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كم الله لكلّ زان وزانية دي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ة مسلّمة إلى بيت العدل وهي تسعة مثاقيل من الذّهب وإن عادا مرّة أخرى عودوا بضعف الجز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ء هذا ما حكم به مالك الأسماء في الأولى وفي الأخرى قدّر لهما عذاب مهين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جزای زانی و زانيه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دفعه اولی </w:t>
      </w:r>
      <w:r>
        <w:rPr>
          <w:rFonts w:ascii="Traditional Arabic" w:hAnsi="Traditional Arabic" w:cs="Traditional Arabic"/>
          <w:sz w:val="28"/>
          <w:sz w:val="28"/>
          <w:szCs w:val="28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مثقال ثانی </w:t>
      </w:r>
      <w:r>
        <w:rPr>
          <w:rFonts w:ascii="Traditional Arabic" w:hAnsi="Traditional Arabic" w:cs="Traditional Arabic"/>
          <w:sz w:val="28"/>
          <w:sz w:val="28"/>
          <w:szCs w:val="28"/>
        </w:rPr>
        <w:t>١٨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مثقال ثالث </w:t>
      </w:r>
      <w:r>
        <w:rPr>
          <w:rFonts w:ascii="Traditional Arabic" w:hAnsi="Traditional Arabic" w:cs="Traditional Arabic"/>
          <w:sz w:val="28"/>
          <w:sz w:val="28"/>
          <w:szCs w:val="28"/>
        </w:rPr>
        <w:t>٣٦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مثقال الی آخر دو مقدار جزای سابق و مثقال نوزده نخود است چنانچه در بيان نازل شده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حدّ زنا و لواط و سارق و مقادير آن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تعيين مقادير حد به بيت العدل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خباثت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 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احکام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299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واللّواط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والخيانة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 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المقبلين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خلقتم لتطهير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مولی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ينسب 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الشّيطان 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والحصاة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اللّسان النّاطق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و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90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الحياة البهائية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مُحْصَن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مُحْصَن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احکام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فحشاء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زجر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فحشاء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درگاهر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 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حکومتی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 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 محکوم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رسوای 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شهود اربعه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تمکّن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 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بقرآن داد؟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فَأْنِصُفْوا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أَهْلَ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الْإِنْصَافِ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مكاتيب حضرت عبدالبهاء،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371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کلمه زنا در لغت شامل زنای محصن و غير محصن هر دو می باشد ، يعنی هم به روابط جنسی بين يک فرد متأهّل با کسی که همسر او نيست و هم به طور کلّی به روابط جنسی خارج از محدوده ازدواج اطلاق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جريمه‌ای را که جمال اقدس ابهی مقرّر فرموده‌اند برای مرد و زن غير محصن است که مرتکب زنا شوند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تعيين مجازات مربوط به ساير تخلّفات جنسی ، من جمله زنای به عنف به تصميم بيت العدل اعظم محوّل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 به طور کلّی به روابط نامشروع جنسی بين افراد ، اعمّ از متأهّل يا مجرّد ، اطلاق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٣٦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بيان حضرت عبدالبهاء جزای مصرّح در آيه فوق تعلّق به غير محصن دارد نه محصن ، يعنی مجرّد نه متأهّل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سپس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امّا زانی محصن و محصنه حکمش راجع به بيت العدل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٤٩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يکی از الواح مبارکه حضرت عبدالبهاء به عواقب سوء روحانی و اجتماعی تجاوز از موازين عفّت و عصمت اشاره نموده و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شخص مرتکب فحشاء از درگاه احديّت مطرود و مردود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صورتی که جرم ثابت و مرتکب محکوم به پرداخت جريمه شود ، به فرموده حضرت عبدالبهاء اين جزا به جهت آن است تا رذيل و رسوای عالم گردد و محض تشهير است و اين رسوائی اعظم عقوبت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مراد از بيت العدل مذکور در اين آيه ظاهراً بيت العدل محلی است که در حال حاضر به محفل روحانی محلّی شهرت 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630" w:leader="none"/>
      </w:tabs>
      <w:bidi w:val="1"/>
      <w:ind w:left="0" w:right="0" w:hanging="0"/>
      <w:jc w:val="left"/>
      <w:rPr>
        <w:rFonts w:ascii="Traditional Arabic" w:hAnsi="Traditional Arabic" w:cs="Traditional Arabic"/>
        <w:color w:val="000000"/>
        <w:sz w:val="24"/>
        <w:szCs w:val="24"/>
        <w:lang w:bidi="fa-IR"/>
      </w:rPr>
    </w:pPr>
    <w:r>
      <w:rPr>
        <w:rFonts w:ascii="Traditional Arabic" w:hAnsi="Traditional Arabic" w:cs="Traditional Arabic"/>
        <w:color w:val="000000"/>
        <w:sz w:val="24"/>
        <w:sz w:val="24"/>
        <w:szCs w:val="24"/>
        <w:rtl w:val="true"/>
        <w:lang w:bidi="fa-IR"/>
      </w:rPr>
      <w:t>نهی از زنا</w:t>
    </w:r>
  </w:p>
  <w:p>
    <w:pPr>
      <w:pStyle w:val="Header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