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دفن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المیّت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دفن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الأموات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البلّور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الأحجار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الممتنعة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الأخشاب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الصّلبة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اللّطيفة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ووضع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الخواتيم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المنقوشة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أصابعهم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المقدّر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يكتب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للرّجال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السّموات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شيء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وللورقات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السّموات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شيء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نُزِّلَ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قَبْلُ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وينادي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نقطة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ويقول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الإمكان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انطق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تتضوّع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نفحات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ألطافك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العالمين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أخبرنا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يعادل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بكلمة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المقتدر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تشآء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فيوضات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رحمتك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الفضل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استجبنا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المحبوب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المجيب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ينقش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ولهنّ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كنّا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حاكمين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 بدئت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ورجعت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منقطعا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سواه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ومتمسّكا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باسمه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الرّحمن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الرّحيم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يختصّ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يشآء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بفضل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المقتدر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القدير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تكفّنوه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خمسة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أثواب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الحرير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القطن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يستطع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يكتفي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بواحدة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قضي الأمر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خبير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أزيد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مسافة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المدينة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ادفنوه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بالرّوح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والرّيحان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مكان قريب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 </w:t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الكتاب الاقدس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الفقرات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128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-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130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أدآء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والدّيون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تكون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وتجهيز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الأسباب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للكفن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والدّفن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بالعزّة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والاعتزاز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المبدء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والمئاب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الكتاب الاقدس – الفقرة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الالتزامات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بالأداء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حقوق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الميّت،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تجهيزه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ودفنه؟</w:t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/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تجهيز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ودفنه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مقدّم،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يليه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أداء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الدّين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أخذ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حقوق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وإذا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يكف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للوفاء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بديونه،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يقسّم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الدّيون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بنسبة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مقاديرها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ينطبق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الجنائز،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يتفضّل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حرّم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عليكم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نقل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الميّت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أزيد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مسافة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ساعة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المدينة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والبحر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معا؟</w:t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يسري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والبحر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السّواء،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وسيّان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سفينة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بخاريّة،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سكّة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حديديّة،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فالمقصود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واسطة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كانت،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ولكن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التّعجيل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بدفن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وأولى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كفن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يكون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خمسة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أثواب،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خمسة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أثواب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معمولا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خمسة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لفائف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الأخرى؟</w:t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خمسة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أثواب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56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المنزّل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بوضع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إصبع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الكبار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الصّغار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أيضا؟</w:t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خاصّ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بالكبار،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وكذلك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الميّت،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أيضا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خاصّة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بالكبار فقط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70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الميّت،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تؤدّى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الدّفن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بعده،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يلزم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مواجهة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القبلة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لا؟</w:t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تكون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الدّفن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والقبلة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أينما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تولّوا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فثمّ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85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ملحقات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الأقدس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الوحيدة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تؤدّى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جماعة،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ويقوم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بتلاوتها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المصلّين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المصلّين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19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أوضح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SA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واجبة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بالغا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70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دفن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الميّت،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واستقبال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القبلة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شرطا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لصحّتها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85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وهناك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مزيد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تفاصيل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خلاصة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والأوامر،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رابعا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13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14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تتكوّن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جزئين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الجزء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دعاء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أنزله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SA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ويتلى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الصّلاة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والجزء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الثّاني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يتضمّن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ستّ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منزّلة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خصّيصا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المناسبة،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تتلى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مكرّرا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تسع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عشرة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مرّة،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مسبوقة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بتكبيرة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واحدة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أبهى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أنزلها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لصلاة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البيان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الاقدس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الشرح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رتّب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أولويّة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أداء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الالتزامات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فوضع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المرتبة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الأولى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مصروفات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الجنازة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والدّفن،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يليهما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سداد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المتوفّى،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أداء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حقوق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cs="Traditional Arabic" w:ascii="Traditional Arabic" w:hAnsi="Traditional Arabic"/>
          <w:sz w:val="28"/>
          <w:szCs w:val="28"/>
          <w:rtl w:val="true"/>
        </w:rPr>
        <w:t>.  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125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9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وبيّن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أيضا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أداء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الدّيون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يكون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سائر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التّركة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تؤخذ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عندئذ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السّكنى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والألبسة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المخصوصة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للمتوفّى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الاقدس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الشرح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47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pacing w:val="-2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  <w:lang w:bidi="ar-JO"/>
        </w:rPr>
        <w:t xml:space="preserve">  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الباب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البيان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بأن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يدفن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الميّت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تابوت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البلّور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الحجر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المصقول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وشرح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رسالة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كتبت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بتوجيهه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مغزى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الأمر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إظهار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الاحترام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لجسد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الإنسان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pacing w:val="-2"/>
          <w:sz w:val="28"/>
          <w:sz w:val="28"/>
          <w:szCs w:val="28"/>
          <w:rtl w:val="true"/>
          <w:lang w:bidi="ar-JO"/>
        </w:rPr>
        <w:t>تشرّف</w:t>
      </w:r>
      <w:r>
        <w:rPr>
          <w:rFonts w:ascii="Traditional Arabic" w:hAnsi="Traditional Arabic" w:cs="Traditional Arabic"/>
          <w:b/>
          <w:b/>
          <w:bCs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2"/>
          <w:sz w:val="28"/>
          <w:sz w:val="28"/>
          <w:szCs w:val="28"/>
          <w:rtl w:val="true"/>
          <w:lang w:bidi="ar-JO"/>
        </w:rPr>
        <w:t>يوما</w:t>
      </w:r>
      <w:r>
        <w:rPr>
          <w:rFonts w:ascii="Traditional Arabic" w:hAnsi="Traditional Arabic" w:cs="Traditional Arabic"/>
          <w:b/>
          <w:b/>
          <w:bCs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2"/>
          <w:sz w:val="28"/>
          <w:sz w:val="28"/>
          <w:szCs w:val="28"/>
          <w:rtl w:val="true"/>
          <w:lang w:bidi="ar-JO"/>
        </w:rPr>
        <w:t>بتجلّي</w:t>
      </w:r>
      <w:r>
        <w:rPr>
          <w:rFonts w:ascii="Traditional Arabic" w:hAnsi="Traditional Arabic" w:cs="Traditional Arabic"/>
          <w:b/>
          <w:b/>
          <w:bCs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2"/>
          <w:sz w:val="28"/>
          <w:sz w:val="28"/>
          <w:szCs w:val="28"/>
          <w:rtl w:val="true"/>
          <w:lang w:bidi="ar-JO"/>
        </w:rPr>
        <w:t>الرّوح</w:t>
      </w:r>
      <w:r>
        <w:rPr>
          <w:rFonts w:ascii="Traditional Arabic" w:hAnsi="Traditional Arabic" w:cs="Traditional Arabic"/>
          <w:b/>
          <w:b/>
          <w:bCs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2"/>
          <w:sz w:val="28"/>
          <w:sz w:val="28"/>
          <w:szCs w:val="28"/>
          <w:rtl w:val="true"/>
          <w:lang w:bidi="ar-JO"/>
        </w:rPr>
        <w:t>الإنسانيّة</w:t>
      </w:r>
      <w:r>
        <w:rPr>
          <w:rFonts w:ascii="Traditional Arabic" w:hAnsi="Traditional Arabic" w:cs="Traditional Arabic"/>
          <w:b/>
          <w:b/>
          <w:bCs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2"/>
          <w:sz w:val="28"/>
          <w:sz w:val="28"/>
          <w:szCs w:val="28"/>
          <w:rtl w:val="true"/>
          <w:lang w:bidi="ar-JO"/>
        </w:rPr>
        <w:t>الخالدة</w:t>
      </w:r>
      <w:r>
        <w:rPr>
          <w:rFonts w:ascii="Traditional Arabic" w:hAnsi="Traditional Arabic" w:cs="Traditional Arabic"/>
          <w:b/>
          <w:b/>
          <w:bCs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2"/>
          <w:sz w:val="28"/>
          <w:sz w:val="28"/>
          <w:szCs w:val="28"/>
          <w:rtl w:val="true"/>
          <w:lang w:bidi="ar-JO"/>
        </w:rPr>
        <w:t>عليه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 xml:space="preserve">".  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>]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مترجم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>[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  <w:lang w:bidi="ar-JO"/>
        </w:rPr>
        <w:t xml:space="preserve">  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وتتلخّص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أحكام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الشّريعة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البهائيّة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شأن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دفن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الميّت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النّهي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نقل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جثمانه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لمسافة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تزيد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ساعة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مكان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الوفاة؛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وأن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يكفّن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الجسد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ثوب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الحرير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القطن،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وأن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يزيّن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إصبع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الميّت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بخاتم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نقش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عليه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pacing w:val="-2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b/>
          <w:b/>
          <w:bCs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2"/>
          <w:sz w:val="28"/>
          <w:sz w:val="28"/>
          <w:szCs w:val="28"/>
          <w:rtl w:val="true"/>
          <w:lang w:bidi="ar-JO"/>
        </w:rPr>
        <w:t>بدئت</w:t>
      </w:r>
      <w:r>
        <w:rPr>
          <w:rFonts w:ascii="Traditional Arabic" w:hAnsi="Traditional Arabic" w:cs="Traditional Arabic"/>
          <w:b/>
          <w:b/>
          <w:bCs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2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b/>
          <w:b/>
          <w:bCs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2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2"/>
          <w:sz w:val="28"/>
          <w:sz w:val="28"/>
          <w:szCs w:val="28"/>
          <w:rtl w:val="true"/>
          <w:lang w:bidi="ar-JO"/>
        </w:rPr>
        <w:t>ورجعت</w:t>
      </w:r>
      <w:r>
        <w:rPr>
          <w:rFonts w:ascii="Traditional Arabic" w:hAnsi="Traditional Arabic" w:cs="Traditional Arabic"/>
          <w:b/>
          <w:b/>
          <w:bCs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2"/>
          <w:sz w:val="28"/>
          <w:sz w:val="28"/>
          <w:szCs w:val="28"/>
          <w:rtl w:val="true"/>
          <w:lang w:bidi="ar-JO"/>
        </w:rPr>
        <w:t>إليه</w:t>
      </w:r>
      <w:r>
        <w:rPr>
          <w:rFonts w:ascii="Traditional Arabic" w:hAnsi="Traditional Arabic" w:cs="Traditional Arabic"/>
          <w:b/>
          <w:b/>
          <w:bCs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2"/>
          <w:sz w:val="28"/>
          <w:sz w:val="28"/>
          <w:szCs w:val="28"/>
          <w:rtl w:val="true"/>
          <w:lang w:bidi="ar-JO"/>
        </w:rPr>
        <w:t>منقطعا</w:t>
      </w:r>
      <w:r>
        <w:rPr>
          <w:rFonts w:ascii="Traditional Arabic" w:hAnsi="Traditional Arabic" w:cs="Traditional Arabic"/>
          <w:b/>
          <w:b/>
          <w:bCs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2"/>
          <w:sz w:val="28"/>
          <w:sz w:val="28"/>
          <w:szCs w:val="28"/>
          <w:rtl w:val="true"/>
          <w:lang w:bidi="ar-JO"/>
        </w:rPr>
        <w:t>عمّا</w:t>
      </w:r>
      <w:r>
        <w:rPr>
          <w:rFonts w:ascii="Traditional Arabic" w:hAnsi="Traditional Arabic" w:cs="Traditional Arabic"/>
          <w:b/>
          <w:b/>
          <w:bCs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2"/>
          <w:sz w:val="28"/>
          <w:sz w:val="28"/>
          <w:szCs w:val="28"/>
          <w:rtl w:val="true"/>
          <w:lang w:bidi="ar-JO"/>
        </w:rPr>
        <w:t>سواه</w:t>
      </w:r>
      <w:r>
        <w:rPr>
          <w:rFonts w:ascii="Traditional Arabic" w:hAnsi="Traditional Arabic" w:cs="Traditional Arabic"/>
          <w:b/>
          <w:b/>
          <w:bCs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2"/>
          <w:sz w:val="28"/>
          <w:sz w:val="28"/>
          <w:szCs w:val="28"/>
          <w:rtl w:val="true"/>
          <w:lang w:bidi="ar-JO"/>
        </w:rPr>
        <w:t>ومتمسّكا</w:t>
      </w:r>
      <w:r>
        <w:rPr>
          <w:rFonts w:ascii="Traditional Arabic" w:hAnsi="Traditional Arabic" w:cs="Traditional Arabic"/>
          <w:b/>
          <w:b/>
          <w:bCs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2"/>
          <w:sz w:val="28"/>
          <w:sz w:val="28"/>
          <w:szCs w:val="28"/>
          <w:rtl w:val="true"/>
          <w:lang w:bidi="ar-JO"/>
        </w:rPr>
        <w:t>باسمه</w:t>
      </w:r>
      <w:r>
        <w:rPr>
          <w:rFonts w:ascii="Traditional Arabic" w:hAnsi="Traditional Arabic" w:cs="Traditional Arabic"/>
          <w:b/>
          <w:b/>
          <w:bCs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2"/>
          <w:sz w:val="28"/>
          <w:sz w:val="28"/>
          <w:szCs w:val="28"/>
          <w:rtl w:val="true"/>
          <w:lang w:bidi="ar-JO"/>
        </w:rPr>
        <w:t>الرّحمن</w:t>
      </w:r>
      <w:r>
        <w:rPr>
          <w:rFonts w:ascii="Traditional Arabic" w:hAnsi="Traditional Arabic" w:cs="Traditional Arabic"/>
          <w:b/>
          <w:b/>
          <w:bCs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pacing w:val="-2"/>
          <w:sz w:val="28"/>
          <w:sz w:val="28"/>
          <w:szCs w:val="28"/>
          <w:rtl w:val="true"/>
          <w:lang w:bidi="ar-JO"/>
        </w:rPr>
        <w:t>الرّحيم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وأن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يكون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التّابوت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البلّور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الحجر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الأخشاب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الصّلبة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اللّطيفة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نزّلت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صلاة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خاصّة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للميّت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تقام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الدّفن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2"/>
          <w:sz w:val="28"/>
          <w:szCs w:val="28"/>
        </w:rPr>
        <w:t>10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وأبان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SA"/>
        </w:rPr>
        <w:t>عبدالبهاء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وحضرة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الله،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الأحكام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تمنع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حرق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جثّة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الميّت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تجب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الصّلاة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الميّت،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ووضع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خاتم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إصبعه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إلاّ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إذا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بالغا،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أي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بلغ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خمسة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عشر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عاما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2"/>
          <w:sz w:val="28"/>
          <w:szCs w:val="28"/>
        </w:rPr>
        <w:t>70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>).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pacing w:val="-2"/>
          <w:sz w:val="28"/>
          <w:szCs w:val="28"/>
          <w:lang w:bidi="ar-JO"/>
        </w:rPr>
      </w:pPr>
      <w:r>
        <w:rPr>
          <w:rFonts w:cs="Traditional Arabic" w:ascii="Traditional Arabic" w:hAnsi="Traditional Arabic"/>
          <w:b/>
          <w:bCs/>
          <w:spacing w:val="-2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pacing w:val="-2"/>
          <w:sz w:val="28"/>
          <w:szCs w:val="28"/>
        </w:rPr>
      </w:pPr>
      <w:r>
        <w:rPr>
          <w:rFonts w:eastAsia="Traditional Arabic" w:cs="Traditional Arabic" w:ascii="Traditional Arabic" w:hAnsi="Traditional Arabic"/>
          <w:spacing w:val="-2"/>
          <w:sz w:val="28"/>
          <w:szCs w:val="28"/>
          <w:rtl w:val="true"/>
          <w:lang w:bidi="ar-JO"/>
        </w:rPr>
        <w:t xml:space="preserve">  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ويفهم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تعيين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المواد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يصنع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منها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التّابوت،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تكون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مادة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دائمة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قدر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المستطاع،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ومن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ثمّ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بيّن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الأعظم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أنّه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مانع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استعمال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أصلب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الأخشاب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المتوفّرة،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الإسمنت،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صنع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التّابوت،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بالإضافة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المواد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المذكورة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الأقدس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وفي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الوقت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الرّاهن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الخيار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الصّدد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متروك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لأحباء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2"/>
          <w:sz w:val="28"/>
          <w:sz w:val="28"/>
          <w:szCs w:val="28"/>
          <w:rtl w:val="true"/>
          <w:lang w:bidi="ar-JO"/>
        </w:rPr>
        <w:t>الله</w:t>
      </w: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149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2"/>
          <w:sz w:val="28"/>
          <w:szCs w:val="28"/>
        </w:rPr>
      </w:pPr>
      <w:r>
        <w:rPr>
          <w:rFonts w:cs="Traditional Arabic" w:ascii="Traditional Arabic" w:hAnsi="Traditional Arabic"/>
          <w:spacing w:val="-2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بلفّ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خمسة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أثواب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الحرير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القطن،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وثبّت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SA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وأضاف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يستطع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يكتفي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بواحدة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منهما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وسئل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خمسة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أثواب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معمولا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خمسة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لفائف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الأخرى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فتفضّل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خمسة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أثواب</w:t>
      </w:r>
      <w:r>
        <w:rPr>
          <w:rFonts w:cs="Traditional Arabic" w:ascii="Traditional Arabic" w:hAnsi="Traditional Arabic"/>
          <w:sz w:val="28"/>
          <w:szCs w:val="28"/>
          <w:rtl w:val="true"/>
        </w:rPr>
        <w:t>.  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56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يخصّ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كيفيّة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لفّ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الجسد،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يوجد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المباركة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يحدّد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كيفيّة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لفّ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الجسد،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سواء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خمسة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أثواب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واحد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ولأحباء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الرّاهن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الحرّيّة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يرونه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مناسبا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الشّأن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151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الزّمن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خلاله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الوفاة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الدّفن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بساعة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واحدة،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بغضّ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الوسيلة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المستعملة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الجثّة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أضاف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SA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كلّما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عجّل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بدفن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الميّت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أحبّ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وأولى</w:t>
      </w:r>
      <w:r>
        <w:rPr>
          <w:rFonts w:cs="Traditional Arabic" w:ascii="Traditional Arabic" w:hAnsi="Traditional Arabic"/>
          <w:sz w:val="28"/>
          <w:szCs w:val="28"/>
          <w:rtl w:val="true"/>
        </w:rPr>
        <w:t>".  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16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وينبغي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مكان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الوفاة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المدينة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القرية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الوفاة،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فيبدأ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حساب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مسافة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السّاعة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المسموح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المدينة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القرية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الدّفن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والمقصد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الحقيقيّ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يدفن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مقربة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وفاته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152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