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وجوب</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الاشتغال</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بمهنة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أو</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حرفة</w:t>
      </w:r>
      <w:r>
        <w:rPr>
          <w:rFonts w:ascii="Traditional Arabic" w:hAnsi="Traditional Arabic" w:cs="Traditional Arabic"/>
          <w:b/>
          <w:b/>
          <w:bCs/>
          <w:color w:val="0000CC"/>
          <w:sz w:val="56"/>
          <w:sz w:val="56"/>
          <w:szCs w:val="56"/>
          <w:rtl w:val="true"/>
          <w:lang w:bidi="fa-IR"/>
        </w:rPr>
        <w:t xml:space="preserve"> </w:t>
      </w:r>
    </w:p>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56"/>
          <w:sz w:val="56"/>
          <w:szCs w:val="56"/>
          <w:rtl w:val="true"/>
          <w:lang w:bidi="fa-IR"/>
        </w:rPr>
        <w:t>واعتبار</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ذلك</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في</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منزلة</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العبادة</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يا أهل البه</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ء قد وجب على كلّ واحد منكم الاشتغال بأمر من الأمور من الصّن</w:t>
      </w:r>
      <w:r>
        <w:rPr>
          <w:rFonts w:ascii="Traditional Arabic" w:hAnsi="Traditional Arabic" w:cs="Traditional Arabic"/>
          <w:sz w:val="28"/>
          <w:sz w:val="28"/>
          <w:szCs w:val="28"/>
          <w:rtl w:val="true"/>
          <w:lang w:bidi="ar-JO"/>
        </w:rPr>
        <w:t>آ</w:t>
      </w:r>
      <w:r>
        <w:rPr>
          <w:rFonts w:ascii="Traditional Arabic" w:hAnsi="Traditional Arabic" w:cs="Traditional Arabic"/>
          <w:sz w:val="28"/>
          <w:sz w:val="28"/>
          <w:szCs w:val="28"/>
          <w:rtl w:val="true"/>
        </w:rPr>
        <w:t>ئع والاقتراف وأمثالها وجعلنا اشتغالكم بها نفس العبادة لله الحقّ تفكّروا يا قوم في رحمة الله وألطافه ثمّ اشكروه في العشيّ والإشراق</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لا تضيّعوا أوقاتكم بالبطالة والكسالة واشتغلوا بما ينتفع به أنفسكم وأنفس غيركم كذلك قضي الأمر في هذا اللّوح الّذي لاحت من أفقه شمس الحكمة والتّبيان</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أبغض النّاس عند الله من يقعد ويطلب تمسّكوا بحبل الأسباب متوك</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لين على الله مسبّب الأسباب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 الفقرة </w:t>
      </w:r>
      <w:r>
        <w:rPr>
          <w:rFonts w:cs="Traditional Arabic" w:ascii="Traditional Arabic" w:hAnsi="Traditional Arabic"/>
          <w:color w:val="FF0000"/>
          <w:sz w:val="28"/>
          <w:szCs w:val="28"/>
        </w:rPr>
        <w:t>33</w:t>
      </w:r>
      <w:r>
        <w:rPr>
          <w:rFonts w:cs="Traditional Arabic" w:ascii="Traditional Arabic" w:hAnsi="Traditional Arabic"/>
          <w:color w:val="FF0000"/>
          <w:sz w:val="28"/>
          <w:szCs w:val="28"/>
          <w:rtl w:val="true"/>
        </w:rPr>
        <w:t>)</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لا يحل السّؤال ومن سئل حرّم عليه العطآء قد كتب على الكلّ أن يكسب والّذي عجز فللوكلآء والأغنيآء أن يعيّنوا له ما يكفيه اعملوا حدود الله وسننه ثمّ احفظوها كما تحفظون أعينكم ولا تكوننّ من الخاسرين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 الفقرة </w:t>
      </w:r>
      <w:r>
        <w:rPr>
          <w:rFonts w:cs="Traditional Arabic" w:ascii="Traditional Arabic" w:hAnsi="Traditional Arabic"/>
          <w:color w:val="FF0000"/>
          <w:sz w:val="28"/>
          <w:szCs w:val="28"/>
        </w:rPr>
        <w:t>147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0"/>
        <w:jc w:val="both"/>
        <w:rPr>
          <w:rFonts w:ascii="Traditional Arabic" w:hAnsi="Traditional Arabic" w:cs="Traditional Arabic"/>
          <w:b/>
          <w:b/>
          <w:bCs/>
          <w:sz w:val="28"/>
          <w:szCs w:val="28"/>
        </w:rPr>
      </w:pPr>
      <w:r>
        <w:rPr>
          <w:rFonts w:cs="Traditional Arabic" w:ascii="Traditional Arabic" w:hAnsi="Traditional Arabic"/>
          <w:sz w:val="28"/>
          <w:szCs w:val="28"/>
          <w:lang w:bidi="ar-JO"/>
        </w:rPr>
        <w:t>3</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الْبِشَارَةُ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الثَّانِيَةَ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 xml:space="preserve">عَشْرَةَ </w:t>
      </w:r>
      <w:r>
        <w:rPr>
          <w:rFonts w:cs="Traditional Arabic" w:ascii="Traditional Arabic" w:hAnsi="Traditional Arabic"/>
          <w:b/>
          <w:bCs/>
          <w:sz w:val="28"/>
          <w:szCs w:val="28"/>
          <w:rtl w:val="true"/>
          <w:lang w:bidi="ar-JO"/>
        </w:rPr>
        <w:t xml:space="preserve">- </w:t>
      </w:r>
      <w:r>
        <w:rPr>
          <w:rFonts w:ascii="Traditional Arabic" w:hAnsi="Traditional Arabic" w:cs="Traditional Arabic"/>
          <w:b/>
          <w:b/>
          <w:bCs/>
          <w:sz w:val="28"/>
          <w:sz w:val="28"/>
          <w:szCs w:val="28"/>
          <w:rtl w:val="true"/>
          <w:lang w:bidi="ar-JO"/>
        </w:rPr>
        <w:t>قَدْ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مِنْكُمُ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الاشْتِغَالُ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الأُمُورِ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الصَّنَائِعِ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وَالاقْتِرَافِ</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وَأَمْثَالِهَا</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وَجَعَلْنَا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اشْتِغَالَكُمْ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نَفْسَ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الْعِبَادَةِ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الْحَقِّ</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تَفَكَّرُوا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قَوْمِ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رَحْمَةِ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وَأَلْطَافِهِ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ثُمَّ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اشْكُرُوهُ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الْعَشِيِّ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وَالإِشْرَاقِ</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تُضَيِّعُوا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أَوْقَاتَكُمْ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بِالْبِطَالَةِ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وَالْكَسَالَةِ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وَاشْتَغِلُوا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تَنْتَفِعُ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أَنْفُسُكُمْ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وَأَنْفُسُ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غَيْرِكُمْ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كَذَلِكَ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قُضِيَ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اللَّوْحِ</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الَّذِي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لاَحَتْ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أُفُقِهِ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شَمْسُ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الْحِكْمَةِ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وَالْبَيَانِ</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أَبْغَضُ</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النَّاسِ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يَقْعُدُ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وَيَطْلُبُ تَمَسَّكُوا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بِحَبْلِ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الأَسْبَابِ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مُتَوَكِّلِينَ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مُسَبِّبِ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الأَسْبَابِ</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فَكُلُّ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يَشْتَغِلُ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بِصَنْعَةِ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احْتِرَافٍ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عَمَلُهُ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نَفْسَ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الْعِبَادَةِ</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فَضْلِهِ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الْعَظِيمِ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الْعَمِيمِ</w:t>
      </w:r>
      <w:r>
        <w:rPr>
          <w:rFonts w:cs="Traditional Arabic" w:ascii="Traditional Arabic" w:hAnsi="Traditional Arabic"/>
          <w:sz w:val="28"/>
          <w:szCs w:val="28"/>
          <w:rtl w:val="true"/>
        </w:rPr>
        <w:t>."</w:t>
      </w:r>
      <w:r>
        <w:rPr>
          <w:rFonts w:cs="Traditional Arabic" w:ascii="Traditional Arabic" w:hAnsi="Traditional Arabic"/>
          <w:b/>
          <w:bCs/>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lang w:bidi="ar-JO"/>
        </w:rPr>
        <w:t>لوح</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 xml:space="preserve">البشارات </w:t>
      </w:r>
      <w:r>
        <w:rPr>
          <w:rFonts w:cs="Traditional Arabic" w:ascii="Traditional Arabic" w:hAnsi="Traditional Arabic"/>
          <w:color w:val="FF0000"/>
          <w:sz w:val="28"/>
          <w:szCs w:val="28"/>
          <w:rtl w:val="true"/>
          <w:lang w:bidi="ar-JO"/>
        </w:rPr>
        <w:t xml:space="preserve">- </w:t>
      </w:r>
      <w:r>
        <w:rPr>
          <w:rFonts w:ascii="Traditional Arabic" w:hAnsi="Traditional Arabic" w:cs="Traditional Arabic"/>
          <w:color w:val="FF0000"/>
          <w:sz w:val="28"/>
          <w:sz w:val="28"/>
          <w:szCs w:val="28"/>
          <w:rtl w:val="true"/>
          <w:lang w:bidi="ar-JO"/>
        </w:rPr>
        <w:t>معرّب</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4</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يَظْهَرَ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الإِنْسَانَ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الْخَالِي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الثَّمَرِ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نَطَقَ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الرُّوحِ بِمَثَابَةِ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الشَّجَرِ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وَالشَّجَرُ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ثَمَرٍ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لاَئِقٌ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لِلنَّارِ</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lang w:bidi="ar-JO"/>
        </w:rPr>
        <w:t>الکلمات</w:t>
      </w:r>
      <w:r>
        <w:rPr>
          <w:rFonts w:ascii="Traditional Arabic" w:hAnsi="Traditional Arabic" w:cs="Traditional Arabic"/>
          <w:color w:val="FF0000"/>
          <w:sz w:val="28"/>
          <w:sz w:val="28"/>
          <w:szCs w:val="28"/>
          <w:rtl w:val="true"/>
        </w:rPr>
        <w:t xml:space="preserve"> </w:t>
      </w:r>
      <w:r>
        <w:rPr>
          <w:rFonts w:ascii="Traditional Arabic" w:hAnsi="Traditional Arabic" w:cs="Traditional Arabic"/>
          <w:color w:val="FF0000"/>
          <w:sz w:val="28"/>
          <w:sz w:val="28"/>
          <w:szCs w:val="28"/>
          <w:rtl w:val="true"/>
          <w:lang w:bidi="ar-JO"/>
        </w:rPr>
        <w:t>الفردوسية</w:t>
      </w:r>
      <w:r>
        <w:rPr>
          <w:rFonts w:ascii="Traditional Arabic" w:hAnsi="Traditional Arabic" w:cs="Traditional Arabic"/>
          <w:color w:val="FF0000"/>
          <w:sz w:val="28"/>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معرّب</w:t>
      </w:r>
      <w:r>
        <w:rPr>
          <w:rFonts w:cs="Traditional Arabic" w:ascii="Traditional Arabic" w:hAnsi="Traditional Arabic"/>
          <w:color w:val="FF0000"/>
          <w:sz w:val="28"/>
          <w:szCs w:val="28"/>
          <w:rtl w:val="true"/>
          <w:lang w:bidi="ar-JO"/>
        </w:rPr>
        <w:t>)</w:t>
      </w:r>
      <w:r>
        <w:rPr>
          <w:rFonts w:cs="Traditional Arabic" w:ascii="Traditional Arabic" w:hAnsi="Traditional Arabic"/>
          <w:color w:val="FF0000"/>
          <w:sz w:val="28"/>
          <w:szCs w:val="28"/>
          <w:rtl w:val="true"/>
        </w:rPr>
        <w:t xml:space="preserve"> </w:t>
      </w:r>
      <w:r>
        <w:rPr>
          <w:rFonts w:cs="Traditional Arabic" w:ascii="Traditional Arabic" w:hAnsi="Traditional Arabic"/>
          <w:color w:val="FF0000"/>
          <w:sz w:val="28"/>
          <w:szCs w:val="28"/>
          <w:rtl w:val="true"/>
          <w:lang w:bidi="ar-SA"/>
        </w:rPr>
        <w:t>–</w:t>
      </w:r>
      <w:r>
        <w:rPr>
          <w:rFonts w:cs="Traditional Arabic" w:ascii="Traditional Arabic" w:hAnsi="Traditional Arabic"/>
          <w:color w:val="FF0000"/>
          <w:sz w:val="28"/>
          <w:szCs w:val="28"/>
          <w:rtl w:val="true"/>
        </w:rPr>
        <w:t xml:space="preserve"> </w:t>
      </w:r>
      <w:r>
        <w:rPr>
          <w:rFonts w:ascii="Traditional Arabic" w:hAnsi="Traditional Arabic" w:cs="Traditional Arabic"/>
          <w:color w:val="FF0000"/>
          <w:sz w:val="28"/>
          <w:sz w:val="28"/>
          <w:szCs w:val="28"/>
          <w:rtl w:val="true"/>
          <w:lang w:bidi="ar-JO"/>
        </w:rPr>
        <w:t xml:space="preserve">مجموعة من الواح حضرة بهاءالله – ص </w:t>
      </w:r>
      <w:r>
        <w:rPr>
          <w:rFonts w:cs="Traditional Arabic" w:ascii="Traditional Arabic" w:hAnsi="Traditional Arabic"/>
          <w:color w:val="FF0000"/>
          <w:sz w:val="28"/>
          <w:szCs w:val="28"/>
          <w:lang w:bidi="ar-JO"/>
        </w:rPr>
        <w:t>79</w:t>
      </w:r>
      <w:r>
        <w:rPr>
          <w:rFonts w:cs="Traditional Arabic" w:ascii="Traditional Arabic" w:hAnsi="Traditional Arabic"/>
          <w:color w:val="FF0000"/>
          <w:sz w:val="28"/>
          <w:szCs w:val="28"/>
          <w:rtl w:val="true"/>
        </w:rPr>
        <w:t>)</w:t>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رجل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وامرأة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الاشتغال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مزاولة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حرفة،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ويزكّي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الاشتغال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بالأعمال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وجعلنا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اشتغالكم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نفس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العبادة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الحقّ</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تعليمات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نجد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شرحا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للأهمّيّة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الرّوحانيّة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والعمليّة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والمسئوليّة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المتبادلة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الفرد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والمجتمع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لتيسير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إجرائه</w:t>
      </w:r>
      <w:r>
        <w:rPr>
          <w:rFonts w:cs="Traditional Arabic" w:ascii="Traditional Arabic" w:hAnsi="Traditional Arabic"/>
          <w:sz w:val="28"/>
          <w:szCs w:val="28"/>
          <w:rtl w:val="true"/>
        </w:rPr>
        <w:t xml:space="preserve">: </w:t>
      </w:r>
    </w:p>
    <w:p>
      <w:pPr>
        <w:pStyle w:val="Normal"/>
        <w:bidi w:val="1"/>
        <w:ind w:left="0" w:right="0" w:hanging="51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فيما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يتعلّق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SA"/>
        </w:rPr>
        <w:t>بهاءالله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بشأن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اشتغال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المؤمنين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بعمل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حرفة،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تؤكّد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التّعاليم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الإلهيّة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تأكيدا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قاطعا،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الأخصّ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عليه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الكتاب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الأقدس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الخصوص،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حيث</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يترك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مجالا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للرّيب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النّظام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العالميّ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الجديد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لأولئك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المتكاسلين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الّذين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رغبة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العمل</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ونتيجة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المبدأ</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يتفضّل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SA"/>
        </w:rPr>
        <w:t>بهاءالله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ينبغي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التّسوّل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فحسب،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محوه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تامّا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المجتمع،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ويقع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عاتق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أولئك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الّذين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يتولّون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شئون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المجتمع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مسئوليّة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توفير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الفرص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فرد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ليتمكّن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الحصول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يؤهّله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لمزاولة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إحدى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المهن،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وكذلك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توفير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الوسائل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اللاّزمة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لاستغلال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كفاءته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ومهارته،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تحقيقا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للمنافع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تعود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استغلال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الكفاءة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ذاتها،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ولتمكينه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أسباب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العيش</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وكلّ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فرد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مهما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معاقا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محدود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الإمكانيّات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ملزم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يشتغل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بأحد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الأعمال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المهن،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خاصّة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أداؤه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بروح</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الخدمة،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وفقا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لبيانات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حضرة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SA"/>
        </w:rPr>
        <w:t>بهاءالله</w:t>
      </w:r>
      <w:r>
        <w:rPr>
          <w:rFonts w:ascii="Traditional Arabic" w:hAnsi="Traditional Arabic" w:cs="Traditional Arabic"/>
          <w:b/>
          <w:b/>
          <w:bCs/>
          <w:sz w:val="28"/>
          <w:sz w:val="28"/>
          <w:szCs w:val="28"/>
          <w:rtl w:val="true"/>
          <w:lang w:bidi="ar-JO"/>
        </w:rPr>
        <w:t>،</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يكون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نوعا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العبادة</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فلا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تقتصر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أهمّيّة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الاشتغال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المنافع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المادّيّة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فحسب،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وإنما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أمر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ذاته،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لأنّه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يقرّبنا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ويمكّننا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تفهّم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الغاية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عيّنها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لنا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الحياة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الدّنيا</w:t>
      </w:r>
      <w:r>
        <w:rPr>
          <w:rFonts w:cs="Traditional Arabic" w:ascii="Traditional Arabic" w:hAnsi="Traditional Arabic"/>
          <w:b/>
          <w:bCs/>
          <w:sz w:val="28"/>
          <w:szCs w:val="28"/>
          <w:rtl w:val="true"/>
        </w:rPr>
        <w:t xml:space="preserve">.  </w:t>
      </w:r>
      <w:r>
        <w:rPr>
          <w:rFonts w:ascii="Traditional Arabic" w:hAnsi="Traditional Arabic" w:cs="Traditional Arabic"/>
          <w:b/>
          <w:b/>
          <w:bCs/>
          <w:sz w:val="28"/>
          <w:sz w:val="28"/>
          <w:szCs w:val="28"/>
          <w:rtl w:val="true"/>
          <w:lang w:bidi="ar-JO"/>
        </w:rPr>
        <w:t>وعلى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يكون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واضحا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توارث</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الثّروة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يعفي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الإنسان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واجب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العمل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يوميّا</w:t>
      </w:r>
      <w:r>
        <w:rPr>
          <w:rFonts w:cs="Traditional Arabic" w:ascii="Traditional Arabic" w:hAnsi="Traditional Arabic"/>
          <w:sz w:val="28"/>
          <w:szCs w:val="28"/>
          <w:rtl w:val="true"/>
        </w:rPr>
        <w:t>".</w:t>
        <w:tab/>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p>
    <w:p>
      <w:pPr>
        <w:pStyle w:val="Normal"/>
        <w:bidi w:val="1"/>
        <w:ind w:left="0" w:right="0" w:hanging="510"/>
        <w:jc w:val="both"/>
        <w:rPr>
          <w:rFonts w:ascii="Traditional Arabic" w:hAnsi="Traditional Arabic" w:cs="Traditional Arabic"/>
          <w:sz w:val="28"/>
          <w:szCs w:val="28"/>
          <w:lang w:bidi="ar-JO"/>
        </w:rPr>
      </w:pPr>
      <w:r>
        <w:rPr>
          <w:rFonts w:cs="Traditional Arabic" w:ascii="Traditional Arabic" w:hAnsi="Traditional Arabic"/>
          <w:sz w:val="28"/>
          <w:szCs w:val="28"/>
          <w:rtl w:val="true"/>
        </w:rPr>
        <w:tab/>
      </w:r>
    </w:p>
    <w:p>
      <w:pPr>
        <w:pStyle w:val="Normal"/>
        <w:bidi w:val="1"/>
        <w:ind w:left="0" w:right="0" w:hanging="0"/>
        <w:jc w:val="both"/>
        <w:rPr>
          <w:rFonts w:ascii="Traditional Arabic" w:hAnsi="Traditional Arabic" w:cs="Traditional Arabic"/>
          <w:b/>
          <w:b/>
          <w:bCs/>
          <w:sz w:val="28"/>
          <w:szCs w:val="28"/>
          <w:lang w:bidi="ar-JO"/>
        </w:rPr>
      </w:pPr>
      <w:r>
        <w:rPr>
          <w:rFonts w:ascii="Traditional Arabic" w:hAnsi="Traditional Arabic" w:cs="Traditional Arabic"/>
          <w:sz w:val="28"/>
          <w:sz w:val="28"/>
          <w:szCs w:val="28"/>
          <w:rtl w:val="true"/>
          <w:lang w:bidi="ar-JO"/>
        </w:rPr>
        <w:t>وصرّح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SA"/>
        </w:rPr>
        <w:t>عبدالبهاء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إذا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فقد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الإنسان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القدرة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الرّزق،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أصابه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فقر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مدقع،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أصبح</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عاجزا،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الأغنياء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عندئذ</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يرتّبوا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راتبا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شهريّا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لمعيشته</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والمقصود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الملّة،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أعضاء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بيت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العدل</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مترجم</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 xml:space="preserve">انظر أيضا الشّرح فقرة </w:t>
      </w:r>
      <w:r>
        <w:rPr>
          <w:rFonts w:cs="Traditional Arabic" w:ascii="Traditional Arabic" w:hAnsi="Traditional Arabic"/>
          <w:sz w:val="28"/>
          <w:szCs w:val="28"/>
        </w:rPr>
        <w:t>162</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بخصوص التّسوّل</w:t>
      </w:r>
      <w:r>
        <w:rPr>
          <w:rFonts w:cs="Traditional Arabic" w:ascii="Traditional Arabic" w:hAnsi="Traditional Arabic"/>
          <w:sz w:val="28"/>
          <w:szCs w:val="28"/>
          <w:rtl w:val="true"/>
        </w:rPr>
        <w:t>)</w:t>
      </w:r>
    </w:p>
    <w:p>
      <w:pPr>
        <w:pStyle w:val="Normal"/>
        <w:bidi w:val="1"/>
        <w:ind w:left="0" w:right="0" w:hanging="510"/>
        <w:jc w:val="both"/>
        <w:rPr>
          <w:rFonts w:ascii="Traditional Arabic" w:hAnsi="Traditional Arabic" w:cs="Traditional Arabic"/>
          <w:sz w:val="28"/>
          <w:szCs w:val="28"/>
          <w:lang w:bidi="ar-JO"/>
        </w:rPr>
      </w:pPr>
      <w:r>
        <w:rPr>
          <w:rFonts w:cs="Traditional Arabic" w:ascii="Traditional Arabic" w:hAnsi="Traditional Arabic"/>
          <w:sz w:val="28"/>
          <w:szCs w:val="28"/>
          <w:rtl w:val="true"/>
        </w:rPr>
        <w:tab/>
      </w:r>
    </w:p>
    <w:p>
      <w:pPr>
        <w:pStyle w:val="Normal"/>
        <w:bidi w:val="1"/>
        <w:ind w:left="0" w:right="0" w:firstLine="210"/>
        <w:jc w:val="both"/>
        <w:rPr/>
      </w:pPr>
      <w:r>
        <w:rPr>
          <w:rFonts w:ascii="Traditional Arabic" w:hAnsi="Traditional Arabic" w:cs="Traditional Arabic"/>
          <w:sz w:val="28"/>
          <w:sz w:val="28"/>
          <w:szCs w:val="28"/>
          <w:rtl w:val="true"/>
          <w:lang w:bidi="ar-JO"/>
        </w:rPr>
        <w:t>وفي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إجابة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الحكم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الزّوجة</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حتّى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 </w:t>
      </w:r>
      <w:r>
        <w:rPr>
          <w:rFonts w:ascii="Traditional Arabic" w:hAnsi="Traditional Arabic" w:cs="Traditional Arabic"/>
          <w:sz w:val="28"/>
          <w:sz w:val="28"/>
          <w:szCs w:val="28"/>
          <w:rtl w:val="true"/>
          <w:lang w:bidi="ar-JO"/>
        </w:rPr>
        <w:t>الاشتغال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لكسب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العيش،</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أوضح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بيت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العدل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الأعظم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توجيهات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SA"/>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للأحباء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تقضي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يشتغلوا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يفيدهم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ويفيد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غيرهم،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تدبير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شئون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المنزل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أكثر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الأعمال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شرفا،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وأعظمها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مسئوليّة،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وذو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أهمّيّة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أساسيّة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للمجتمع</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firstLine="199"/>
        <w:jc w:val="both"/>
        <w:rPr>
          <w:rFonts w:ascii="Traditional Arabic" w:hAnsi="Traditional Arabic" w:cs="Traditional Arabic"/>
          <w:sz w:val="28"/>
          <w:szCs w:val="28"/>
          <w:lang w:bidi="ar-JO"/>
        </w:rPr>
      </w:pPr>
      <w:r>
        <w:rPr>
          <w:rFonts w:ascii="Traditional Arabic" w:hAnsi="Traditional Arabic" w:cs="Traditional Arabic"/>
          <w:sz w:val="28"/>
          <w:sz w:val="28"/>
          <w:szCs w:val="28"/>
          <w:rtl w:val="true"/>
          <w:lang w:bidi="ar-JO"/>
        </w:rPr>
        <w:t>أمّا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تقاعد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الأفراد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بلوغهم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سنّا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معيّنة،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أمر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رسالة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كتبت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تعليماته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مسألة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بيت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العدل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الأعظم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يسنّ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التّشريع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اللاّزم،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الكتاب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الأقدس</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يتعرّض</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لها</w:t>
      </w:r>
      <w:r>
        <w:rPr>
          <w:rFonts w:cs="Traditional Arabic" w:ascii="Traditional Arabic" w:hAnsi="Traditional Arabic"/>
          <w:sz w:val="28"/>
          <w:szCs w:val="28"/>
          <w:rtl w:val="true"/>
        </w:rPr>
        <w:t>". [</w:t>
      </w:r>
      <w:r>
        <w:rPr>
          <w:rFonts w:ascii="Traditional Arabic" w:hAnsi="Traditional Arabic" w:cs="Traditional Arabic"/>
          <w:sz w:val="28"/>
          <w:sz w:val="28"/>
          <w:szCs w:val="28"/>
          <w:rtl w:val="true"/>
        </w:rPr>
        <w:t>مترجم</w:t>
      </w:r>
      <w:r>
        <w:rPr>
          <w:rFonts w:cs="Traditional Arabic" w:ascii="Traditional Arabic" w:hAnsi="Traditional Arabic"/>
          <w:sz w:val="28"/>
          <w:szCs w:val="28"/>
          <w:rtl w:val="true"/>
        </w:rPr>
        <w:t xml:space="preserve">]"  </w:t>
      </w:r>
    </w:p>
    <w:p>
      <w:pPr>
        <w:pStyle w:val="Normal"/>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 الشرح </w:t>
      </w:r>
      <w:r>
        <w:rPr>
          <w:rFonts w:cs="Traditional Arabic" w:ascii="Traditional Arabic" w:hAnsi="Traditional Arabic"/>
          <w:color w:val="FF0000"/>
          <w:sz w:val="28"/>
          <w:szCs w:val="28"/>
        </w:rPr>
        <w:t>56</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18"/>
        <w:jc w:val="both"/>
        <w:rPr>
          <w:rFonts w:ascii="Traditional Arabic" w:hAnsi="Traditional Arabic" w:cs="Traditional Arabic"/>
          <w:b/>
          <w:b/>
          <w:bCs/>
          <w:sz w:val="28"/>
          <w:szCs w:val="28"/>
          <w:lang w:bidi="ar-JO"/>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SA"/>
        </w:rPr>
        <w:t>عبدالبهاء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هذه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الآية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المباركة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بقوله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حرّم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التّكدّي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حرّم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الإنفاق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يتّخذ</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التّسوّل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مهنة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له</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والمقصود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ذلك</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قطع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دابر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التّكدّي،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أمّا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عجز</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شخص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كسب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الرّزق،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أصيب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بفقر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مدقع،</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أضحى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عاجزا،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فعلى</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الأغنياء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عندئذ</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تخصيص</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راتب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شهريّ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لمعيشته</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والمقصود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هم</w:t>
      </w:r>
      <w:r>
        <w:rPr>
          <w:rFonts w:ascii="Traditional Arabic" w:hAnsi="Traditional Arabic" w:cs="Traditional Arabic"/>
          <w:b/>
          <w:b/>
          <w:bCs/>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lang w:bidi="ar-JO"/>
        </w:rPr>
        <w:t>وكلاء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البيت</w:t>
      </w:r>
      <w:r>
        <w:rPr>
          <w:rFonts w:cs="Traditional Arabic" w:ascii="Traditional Arabic" w:hAnsi="Traditional Arabic"/>
          <w:sz w:val="28"/>
          <w:szCs w:val="28"/>
          <w:rtl w:val="true"/>
        </w:rPr>
        <w:t xml:space="preserve">" </w:t>
      </w:r>
      <w:r>
        <w:rPr>
          <w:rFonts w:ascii="Traditional Arabic" w:hAnsi="Traditional Arabic" w:cs="Traditional Arabic"/>
          <w:b/>
          <w:b/>
          <w:bCs/>
          <w:sz w:val="28"/>
          <w:sz w:val="28"/>
          <w:szCs w:val="28"/>
          <w:rtl w:val="true"/>
          <w:lang w:bidi="ar-JO"/>
        </w:rPr>
        <w:t>أي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أعضاء</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بيت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العدل</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مترجم</w:t>
      </w:r>
      <w:r>
        <w:rPr>
          <w:rFonts w:cs="Traditional Arabic" w:ascii="Traditional Arabic" w:hAnsi="Traditional Arabic"/>
          <w:sz w:val="28"/>
          <w:szCs w:val="28"/>
          <w:rtl w:val="true"/>
        </w:rPr>
        <w:t>[</w:t>
      </w:r>
    </w:p>
    <w:p>
      <w:pPr>
        <w:pStyle w:val="Normal"/>
        <w:bidi w:val="1"/>
        <w:ind w:left="0" w:right="0" w:hanging="0"/>
        <w:jc w:val="both"/>
        <w:rPr>
          <w:rFonts w:ascii="Traditional Arabic" w:hAnsi="Traditional Arabic" w:cs="Traditional Arabic"/>
          <w:b/>
          <w:b/>
          <w:bCs/>
          <w:sz w:val="28"/>
          <w:szCs w:val="28"/>
          <w:lang w:bidi="ar-JO"/>
        </w:rPr>
      </w:pPr>
      <w:r>
        <w:rPr>
          <w:rFonts w:cs="Traditional Arabic" w:ascii="Traditional Arabic" w:hAnsi="Traditional Arabic"/>
          <w:b/>
          <w:bCs/>
          <w:sz w:val="28"/>
          <w:szCs w:val="28"/>
          <w:rtl w:val="true"/>
          <w:lang w:bidi="ar-JO"/>
        </w:rPr>
      </w:r>
    </w:p>
    <w:p>
      <w:pPr>
        <w:pStyle w:val="Normal"/>
        <w:bidi w:val="1"/>
        <w:ind w:left="0" w:right="0" w:hanging="0"/>
        <w:jc w:val="both"/>
        <w:rPr>
          <w:rFonts w:ascii="Traditional Arabic" w:hAnsi="Traditional Arabic" w:cs="Traditional Arabic"/>
          <w:sz w:val="28"/>
          <w:szCs w:val="28"/>
        </w:rPr>
      </w:pPr>
      <w:r>
        <w:rPr>
          <w:rFonts w:eastAsia="Traditional Arabic"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وتحريم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العطاء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للمتسوّلين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يمنع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الأفراد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والمحافل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الرّوحانيّة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المساعدات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الماليّة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للفقراء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والمعوزين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إتاحة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الفرص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ليحصلوا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المهارات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تمكّنهم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كسب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العيش</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انظر الشّرح فقرة </w:t>
      </w:r>
      <w:r>
        <w:rPr>
          <w:rFonts w:cs="Traditional Arabic" w:ascii="Traditional Arabic" w:hAnsi="Traditional Arabic"/>
          <w:sz w:val="28"/>
          <w:szCs w:val="28"/>
        </w:rPr>
        <w:t>56</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 الشرح </w:t>
      </w:r>
      <w:r>
        <w:rPr>
          <w:rFonts w:cs="Traditional Arabic" w:ascii="Traditional Arabic" w:hAnsi="Traditional Arabic"/>
          <w:color w:val="FF0000"/>
          <w:sz w:val="28"/>
          <w:szCs w:val="28"/>
        </w:rPr>
        <w:t>162</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