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سرقت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قد كتب على الس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ارق الن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في والحبس وفي الث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الث فاجعلوا في جبينه علامة يعرف بها لئل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 تقبله مدن الله ودياره إيّاكم أن تأخذكم الر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أفة في دين الله اعملوا ما أمرتم به من لدن مشفق رحيم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45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جمال مبارک ميفرمايند که حدّ مجازات سرقت و تعيين مقدار آن ، بر حسب شدّت يا ضعف جرم ، به بيت العدل اعظم راجع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٤٩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آينده هنگامی که اجرای اين حکم مناسب با مقتضيات جامعه بشری باشد ، بيت العدل اعظم جزئيّات آن را تشريع نموده به مورد اجرا خواهند گذاشت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علامتی که در پيشانی سارق بايد گذاشت برای اين است که مردم از سوابق و تمايل او به دزدی آگاه و از او بر حذر گردند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جزئيّات مربوط به نوع علامت و مدّت داشتن آن ، طريق اجرا و شرايط رفع آن و همچنين تشخيص درجات شدّت دزدی و تعيين حدود 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 حسب دستور جمال مبارک کلّاً به بيت العدل اعظم محوّل شده تا اين امور فرعيّه را در وقت مقتضی تشريع و تنفيذ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سرقت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