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السرقة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قد كتب على الس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ارق الن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في والحبس وفي الث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الث فاجعلوا في جبينه علامة يعرف بها لئل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>ا تقبله مدن الله ودياره إيّاكم أن تأخذكم الر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pacing w:val="-8"/>
          <w:sz w:val="28"/>
          <w:sz w:val="28"/>
          <w:szCs w:val="28"/>
          <w:rtl w:val="true"/>
        </w:rPr>
        <w:t xml:space="preserve">أفة في دين الله اعملوا ما أمرتم به من لدن مشفق رحيم 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لأ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pacing w:val="-8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</w:rPr>
        <w:t>45</w:t>
      </w:r>
      <w:r>
        <w:rPr>
          <w:rFonts w:cs="Traditional Arabic" w:ascii="Traditional Arabic" w:hAnsi="Traditional Arabic"/>
          <w:color w:val="FF0000"/>
          <w:spacing w:val="-8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8"/>
          <w:sz w:val="28"/>
          <w:szCs w:val="28"/>
        </w:rPr>
      </w:pPr>
      <w:r>
        <w:rPr>
          <w:rFonts w:cs="Traditional Arabic" w:ascii="Traditional Arabic" w:hAnsi="Traditional Arabic"/>
          <w:spacing w:val="-8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العقوبة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يتناسب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الجريمة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49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عقوبات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السّرقة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ظروف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ستسود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المجتمع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المستقبل،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وعندئذ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بتفصيلها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وتطبيقها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firstLine="199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الغاية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السّارق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تحذير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نزعاته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المتعلّقة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بطبيعة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وكيفيّة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وضعها،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حملها،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شروط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إزالتها،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خطورة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الأنواع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للسّرقة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تركها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ليبتّ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حينما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لتطبيق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الأقدس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