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اللواط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حرّمت عليكم أزواج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بآئكم إنّا نستحي أن نذكر حكم الغلمان اتّقوا الرّحمن يا ملأ الإمكان ولا ترتكبوا ما نهيتم عنه في اللّوح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حدّ الزّنا والل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واط والسّرقة، ومقاديرها؟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يرجع تعيين مقادير هذه الحدود إلى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SA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واللّواط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والخيانة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 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المقبلين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 لتطهير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ينسب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ويرتکب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الشّيطان 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والحصاة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اللّسان النّاطق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واحکام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 – كتاب الحياة البهائية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بموضعها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الجنسيّة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الشّذوذ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الجنسيّ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وتركّز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والعائلة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باعتبارهما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برمّته،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وباعتبارهما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مخصّصين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الإلهيّ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الجنسيّة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وزوجته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بتوجيه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بلغت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وصفاءها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جنس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السّماح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بعلاقة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جنسيّة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إثم،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والادّعاء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مثاليّة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عذرا،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الفساد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الخلقيّ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وعدّ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الشّذوذ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الجنسيّ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فسادا،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كونه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مخالفا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للطّبيعة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الابتلاء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وزر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ثقيل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ضمير،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بفضل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الأطبّاء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وإرشادهم،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وبفضل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المحاولة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بتصميم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وعزم،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وبفضل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الدّعاء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يتغلّب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واللّواط،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لجسامة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الإثم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