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تربية الأطفال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كتب على كلّ أب تربية ابنه وبنته بالعلم والخطّ ودونهما عم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 حدّد في اللّوح والّذي ترك ما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أمر به فللأمن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ء أن يأخذوا منه ما يكون لازما لتربيتهما إن كان غنيّا وإلا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يرجع إلى بيت العدل إنّا جعلناه مأوى الفقر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ء والمساكين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إ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 xml:space="preserve">نّ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الّذي ربّى ابنه أو ابنا من الأبن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ء كأنّه ربّى أحد أبنآئي عليه به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ئي وعنايتي ورحمتي الّتي سبقت العالمين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48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الإِشْرَاقُ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السَّابِعُ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color w:val="00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الْقَلَمَ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الأَعْلَى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يُوصِي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الْكُلَّ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بِتَعْلِيمِ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الأَطْفَالِ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وَتَرْبِيَتِهِم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وَلَقَدْ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نُزِّلَتْ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هَذِهِ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الآيَاتُ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هَذَا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الْمَقَامِ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سَمَاءِ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الْمَشِيئَةِ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الإِلَهِيَّةِ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الْكِتَابِ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الأَقْدَسِ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بُعَيْدَ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الْوُرُودِ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السِّجْنِ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كُتِبَ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عَلَى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كُلِّ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أَبٍ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تَرْبَيِةُ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ابْنِهِ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وِبِنْتِهِ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بِالْعِلْمِ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وَالْخَطِّ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وَدُونِهِمَا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عَمَّا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حُدِّدَ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اللَّوْحِ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وَالَّذِي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تَرَكَ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أُمِرَ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بِهِ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فَلِلأُمَنَاءِ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يَأْخُذُوا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مِنْهُ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مَا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يَكُونُ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لازِمَاً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لِتَرْبِيَتِهِمَا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إِنْ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كَانَ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غَنِيَّاً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وَإِلاَّ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يَرْجِعُ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بَيْتِ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الْعَدْلِ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إِنَّا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جَعَلْنَاهُ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مَأْوَى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الْفُقَرَاءِ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وَالْمَسَاكِينَ</w:t>
      </w:r>
      <w:r>
        <w:rPr>
          <w:rFonts w:cs="Traditional Arabic" w:ascii="Traditional Arabic" w:hAnsi="Traditional Arabic"/>
          <w:b/>
          <w:bCs/>
          <w:color w:val="000000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الَّذِي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رَبَّى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ابْنَهُ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أَوْ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ابْنَاً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الأَبْنَاءِ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كَأَنَّهُ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رَبَّى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أَحَدَ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أَبْنَائِي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عَلَيْهِ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بَهَائِي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وَعِنَايَتِي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وَرَحْمَتِي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الَّتِي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سَبَقَتِ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00"/>
          <w:sz w:val="28"/>
          <w:sz w:val="28"/>
          <w:szCs w:val="28"/>
          <w:rtl w:val="true"/>
          <w:lang w:bidi="ar-JO"/>
        </w:rPr>
        <w:t>الْعَالَمِينَ</w:t>
      </w:r>
      <w:r>
        <w:rPr>
          <w:rFonts w:cs="Traditional Arabic" w:ascii="Traditional Arabic" w:hAnsi="Traditional Arabic"/>
          <w:b/>
          <w:bCs/>
          <w:color w:val="000000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الإشراقات – 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أُنْظُرْ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الإِنْسَانِ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بِمَثَابَةِ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مَعْدِنٍ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يَحْوِي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أَحْجَارَاً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كَرِيمَةً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تَخْرُجُ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بِالتَّرْبِيَةِ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جَوَاهِرُهُ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عَرْصَةِ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الشُّهُودِ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وَيَنْتَفِعُ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الْعَالَمُ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الإِنْسَانِيُّ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لوح مقصود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Heading3"/>
        <w:numPr>
          <w:ilvl w:val="2"/>
          <w:numId w:val="1"/>
        </w:numPr>
        <w:bidi w:val="1"/>
        <w:ind w:left="0" w:right="0" w:hanging="0"/>
        <w:jc w:val="both"/>
        <w:rPr>
          <w:rFonts w:ascii="Traditional Arabic" w:hAnsi="Traditional Arabic" w:cs="Traditional Arabic"/>
          <w:b w:val="false"/>
          <w:b w:val="false"/>
          <w:bCs w:val="false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b w:val="false"/>
          <w:bCs w:val="false"/>
          <w:color w:val="000000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كَلِمَةُ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color w:val="00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الوِرْقِ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الخَامِسِ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الْفِرْدَوْسِ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الأَعْلَى</w:t>
      </w:r>
      <w:r>
        <w:rPr>
          <w:rFonts w:ascii="Traditional Arabic" w:hAnsi="Traditional Arabic" w:cs="Traditional Arabic"/>
          <w:b w:val="false"/>
          <w:b w:val="false"/>
          <w:bCs w:val="false"/>
          <w:i/>
          <w:i/>
          <w:iCs/>
          <w:color w:val="00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الْعَطِيَّةَ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الْكُبْرَى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وَالنِّعْمَةَ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الْعُظْمَى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الرُّتْبَةِ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الأُولَى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لَمْ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تَزَلْ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هِيَ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الْعَقْلُ</w:t>
      </w:r>
      <w:r>
        <w:rPr>
          <w:rFonts w:cs="Traditional Arabic" w:ascii="Traditional Arabic" w:hAnsi="Traditional Arabic"/>
          <w:b w:val="false"/>
          <w:bCs w:val="false"/>
          <w:color w:val="000000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>وَهُوَ الْحَافِظُ لِلْوُجُودِ وَمُعِينُهُ وَنَاصِرُهُ فَالْعَقْلُ رَسُولُ الرَّحْمَنِ وَمَظْهَرُ اسْم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الْعَلاَّمِ وَبِهِ ظَهَرَ مَقَامُ الإِنْسَانِ</w:t>
      </w:r>
      <w:r>
        <w:rPr>
          <w:rFonts w:cs="Traditional Arabic" w:ascii="Traditional Arabic" w:hAnsi="Traditional Arabic"/>
          <w:b w:val="false"/>
          <w:bCs w:val="false"/>
          <w:color w:val="000000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>وَهُوَ الْعَالِمُ وَالْمُعَلِّمُ الأَوَّلُ فِي مَدْرَسَةِ الْوُجُودِ وَهُوَ الْمُرْشِدُ وَالْحَائِزُ لِلرُّتْبَةِ الْعُلْيَا</w:t>
      </w:r>
      <w:r>
        <w:rPr>
          <w:rFonts w:cs="Traditional Arabic" w:ascii="Traditional Arabic" w:hAnsi="Traditional Arabic"/>
          <w:b w:val="false"/>
          <w:bCs w:val="false"/>
          <w:color w:val="000000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وَبِيُمْنِ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تَرْبِيَتِهِ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أَصْبَحَ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عُنْصُرُ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التُّرَابِ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جَوْهَرَةً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نَفِيسَةً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إِلَى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أَنْ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جَاوَزَ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الأَفْلاَكَ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وَهُوَ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الْخَطِيبُ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الأَوَّلُ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مَدِينَةِ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 w:val="false"/>
          <w:b w:val="false"/>
          <w:bCs w:val="false"/>
          <w:color w:val="000000"/>
          <w:sz w:val="28"/>
          <w:sz w:val="28"/>
          <w:szCs w:val="28"/>
          <w:rtl w:val="true"/>
          <w:lang w:bidi="ar-JO"/>
        </w:rPr>
        <w:t>الْعَدْلِ</w:t>
      </w:r>
      <w:r>
        <w:rPr>
          <w:rFonts w:cs="Traditional Arabic" w:ascii="Traditional Arabic" w:hAnsi="Traditional Arabic"/>
          <w:b w:val="false"/>
          <w:bCs w:val="false"/>
          <w:color w:val="000000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b w:val="false"/>
          <w:bCs w:val="false"/>
          <w:color w:val="000000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b w:val="false"/>
          <w:bCs w:val="false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b w:val="false"/>
          <w:b w:val="false"/>
          <w:bCs w:val="false"/>
          <w:color w:val="FF0000"/>
          <w:sz w:val="28"/>
          <w:sz w:val="28"/>
          <w:szCs w:val="28"/>
          <w:rtl w:val="true"/>
          <w:lang w:bidi="ar-JO"/>
        </w:rPr>
        <w:t xml:space="preserve">الكلمات الفردوسية </w:t>
      </w:r>
      <w:r>
        <w:rPr>
          <w:rFonts w:ascii="Traditional Arabic" w:hAnsi="Traditional Arabic" w:cs="Traditional Arabic"/>
          <w:b w:val="false"/>
          <w:b w:val="false"/>
          <w:bCs w:val="false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b w:val="false"/>
          <w:b w:val="false"/>
          <w:bCs w:val="false"/>
          <w:color w:val="FF0000"/>
          <w:sz w:val="28"/>
          <w:sz w:val="28"/>
          <w:szCs w:val="28"/>
          <w:rtl w:val="true"/>
          <w:lang w:bidi="ar-JO"/>
        </w:rPr>
        <w:t xml:space="preserve"> معرّب</w:t>
      </w:r>
      <w:r>
        <w:rPr>
          <w:rFonts w:cs="Traditional Arabic" w:ascii="Traditional Arabic" w:hAnsi="Traditional Arabic"/>
          <w:b w:val="false"/>
          <w:bCs w:val="false"/>
          <w:color w:val="FF0000"/>
          <w:sz w:val="28"/>
          <w:szCs w:val="28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يكتف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بتوجيه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مسئوليّة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الأبوين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أولادهما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فحسب،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1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تربية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البنات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وتعليمهنّ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أهمّ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تربية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الأبناء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وتعليمهم،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لأنّ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البنات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سيصبحن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يوما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أمّهات،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والأمّهات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المربّيات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الأوليات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للأطفال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ولذلك، إن استحال على عائلة تعليم كلّ أطفالها، يلزم تفضيل البنات لأنّ بفضل أمّهات متعلّمات تتحقّق فوائد المعرفة في المجتمع بسرعة ونجاح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Simplified Arabic"/>
      <w:sz w:val="24"/>
      <w:szCs w:val="28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bidi w:val="1"/>
      <w:ind w:left="0" w:right="0" w:hanging="0"/>
      <w:jc w:val="left"/>
    </w:pPr>
    <w:rPr>
      <w:rFonts w:ascii="Times New Roman" w:hAnsi="Times New Roman" w:eastAsia="Times New Roman" w:cs="Simplified Arabic"/>
      <w:sz w:val="24"/>
      <w:szCs w:val="28"/>
      <w:lang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