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نوشتن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وصیّت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نامه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فرض لكلّ نفس كتاب الوصيّة وله أن يزيّن رأسه بالاسم الأعظم ويعترف فيه بوحدانيّة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مظهر ظهوره ويذكر فيه ما أراد من المعروف ليشهد له في عوالم الأمر والخلق ويكون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له كنزا عند 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 الحافظ الأمين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چيزی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نعش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ميرسد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موفّق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بنويسد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ملّکه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يشآء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آنجناب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وَرَثَة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مايملک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بديگری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ورثه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مصالحه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هِبَة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ورثه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نَزَلَّهُ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الْوَهَّابُ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الْجَوابِ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يَفْعَلُ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فِيْهِ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کَيْفَ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يَشَاءُ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حَکَمَ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باموال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ميراث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صورتيست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متوفّی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مکلّف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حُکماً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وبحسب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وبعد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وفاتش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متوفّی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وعَلَيْکُمَا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الْبَهاءُ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اْلاَبهی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٣٧٢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ورّاث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توزيع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بنويسد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ممهور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معمولٌ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ومقدّم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مقتدر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تغيير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مقتدر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ننويسد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اَسْهَام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مفروضه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نفَس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نکشد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ميفرمائيد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ميراث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بتمامها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مُوَرِّث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توزيع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تقيسم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تفريق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مشکلاتی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منازعاتی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قاطع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نزاعی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بحسب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مَوْرُوْثه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برضا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آرزومندی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مُوِرِّث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توزيع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مضطربند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فرضيّت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بدهيد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اهميّتش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 w:val="28"/>
          <w:szCs w:val="28"/>
          <w:lang w:bidi="ar-JO"/>
        </w:rPr>
        <w:t>١</w:t>
      </w:r>
      <w:r>
        <w:rPr>
          <w:rFonts w:cs="Traditional Arabic"/>
          <w:sz w:val="28"/>
          <w:szCs w:val="28"/>
          <w:rtl w:val="true"/>
        </w:rPr>
        <w:t xml:space="preserve">-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بوصيّتنامه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صورتيکه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نگذاشته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١٠٩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نوشتن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يملک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آزاد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مجازند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يملک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وجداناً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موظّفند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نوشتن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هميشه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تمرکز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اجتناب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مقدّمه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مفصّلی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مطالعه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مزبور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برادران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صورتی که شخص متوفّی ذرّيه داشته و ماترک او شامل خانه مسکونی نيز باشد 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خانه مسکونی به پسر ارشد می رسد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٣٤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صورتی که شخص متوف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ی فرزند ذکور نداشته باشد ، دو ثلث خانه مسکونی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ذرّيه دختر و ثلث ديگر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٤١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٧٢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باره اينکه در اين مقام مراد بيت العدل اعظم يا بيت العدل محلّی است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٤٢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٤٤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نيز مراجعه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ما بقی دارائی شخص متوفّی بين هفت طبقه ورّاث تقسيم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جزئيّات 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سهم هر گروه 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مندرج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صورتی که تعداد ورّاث موجود در هر طبقه بيش از يک 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باشد ، سهم آن طبقه بالسّويّه بين آنها ، اعمّ از زن و مرد ، تقسيم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صورتی که ذرّيه موجود نباشد ، سهم اولاد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، 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</w:t>
      </w:r>
      <w:r>
        <w:rPr>
          <w:rFonts w:ascii="Traditional Arabic" w:hAnsi="Traditional Arabic" w:cs="Traditional Arabic"/>
          <w:sz w:val="28"/>
          <w:sz w:val="28"/>
          <w:szCs w:val="28"/>
        </w:rPr>
        <w:t>٤١</w:t>
      </w:r>
      <w:r>
        <w:rPr>
          <w:rFonts w:cs="Traditional Arabic" w:ascii="Traditional Arabic" w:hAnsi="Traditional Arabic"/>
          <w:sz w:val="28"/>
          <w:szCs w:val="28"/>
          <w:rtl w:val="true"/>
        </w:rPr>
        <w:t>) 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صورتی که ذرّيه موجود ولی ساير طبقات ورّاث کلّاً يا بعضاً مفقود باشند 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 ثلث سهام آنان به ذرّيه و ثلث ديگر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 فقدان تمام طبقات مصرّحه ، دو ثلث ماترک به خواهرزاده‌ها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برادرزاده های شخص متوفّی می رسد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آنها نيز نباشند سهمشان به عمّه ، خاله 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عمو و دائی راجع می شود و در صورتی که آنها هم حيات نداشته باشند به فرزندانشان 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رسد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هر حال ثلث باقی مانده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صورتی که همه طبقات فوق الذکر مفقود باشند ، تمام دارائی شخص متوفّی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بهاءاللّه می فرمايند که نفوس غير مؤمن از والدين يا منسوبين بهائی ارث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نمی برند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در توقيعی که 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الامر مبارک مرقوم گشته 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امر منحصراً محدود به مواردی است که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شخص بهائی بدون وصيّت نامه فوت کند و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ترک او بر طبق کتاب اقدس تقسيم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غير اين صورت فرد بهائی مختار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يملک خود را به هر شخصی بدون ملاحظه ديانت ببخشد مشروط بر اينکه وصيّت نامه‌ای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تنظيم و نيّت خود را تعيين کرده باشد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بنابراين ملاحظه می کنيد که شخص 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همواره می تواند برای زوجه يا اولاد و يا منسوبان غير بهائی خود در وصيّت نامه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سهمی منظور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38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نوشتن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موظّفند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نوشتن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ملّکه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مقرّراتی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توزيع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٤٨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136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آمده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ريشه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عباراتی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مزيّن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ساخته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137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نوشتن وصیّت نامه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