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كتابة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الوصيّة</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فرض لكلّ نفس كتاب الوصيّة وله أن يزيّن رأسه بالاسم الأعظم ويعترف فيه بوحدانيّة 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في مظهر ظهوره ويذكر فيه ما أراد من المعروف ليشهد له في عوالم الأمر والخلق ويكون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له كنزا عند رب</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ه الحافظ الأمين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الفقرة </w:t>
      </w:r>
      <w:r>
        <w:rPr>
          <w:rFonts w:cs="Traditional Arabic" w:ascii="Traditional Arabic" w:hAnsi="Traditional Arabic"/>
          <w:color w:val="FF0000"/>
          <w:sz w:val="28"/>
          <w:szCs w:val="28"/>
        </w:rPr>
        <w:t>109</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هل يجوز لشخص أن يخصّص في وصيّته جزءا من ماله لينفق بعد حياته في الأمور الخيريّة، غير أداء حقوق الله وحقوق النّاس، أم أنّ حقّه ينحصر في مصروف الدّفن، والكفن، وحمل النّعش، وما بقي من مال يؤول كما فرض الله إلى الورّاث؟</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الإنسان حرّ في ماله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إن وفّق في أداء حقوق الله، ولم يكن للن</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اس عليه حقّ، كلّ ما يكتب ويقرّ ويعترف به في وصيّته مقبول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قد أذن الله له بأن يفعل فيما ملّكه الله كيف يشاء</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69</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center"/>
        <w:rPr>
          <w:rFonts w:ascii="Traditional Arabic" w:hAnsi="Traditional Arabic" w:cs="Traditional Arabic"/>
          <w:color w:val="FF0000"/>
          <w:sz w:val="28"/>
          <w:szCs w:val="28"/>
          <w:lang w:bidi="fa-IR"/>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تطبّق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المواريث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الشّخص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يترك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وصيّة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SA"/>
        </w:rPr>
        <w:t>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الأقدس</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مجموعة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الآيات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109</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مؤمن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يكتب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وصيّته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وذكر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صراحة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الكامل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التّصرّف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يحدّد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بحرّيّة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كيفيّة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توزيع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تركته،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ويعيّن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وصيّته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الموصى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إليهم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سواء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غيرهم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69</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وجاء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رسالة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تعليمات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مع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للبهائيّ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يوصي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بتقسيم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تركته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كيف</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يشاء،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ملزم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أدبيّا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ووجدانيّا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يغفل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كتابة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وصيّته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ضرورة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اتّباع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حضرة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SA"/>
        </w:rPr>
        <w:t>بهاءالله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بخصوص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الوظيفة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الاجتماعيّة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للثروة،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وضرورة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تجنّب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تكدّس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الثّروات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وتركيزها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أيد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قليلة،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فئات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أفراد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معيّنة</w:t>
      </w:r>
      <w:r>
        <w:rPr>
          <w:rFonts w:cs="Traditional Arabic" w:ascii="Traditional Arabic" w:hAnsi="Traditional Arabic"/>
          <w:sz w:val="28"/>
          <w:szCs w:val="28"/>
          <w:rtl w:val="true"/>
        </w:rPr>
        <w:t>."</w:t>
        <w:tab/>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r>
    </w:p>
    <w:p>
      <w:pPr>
        <w:pStyle w:val="Normal"/>
        <w:bidi w:val="1"/>
        <w:ind w:left="0" w:right="0" w:hanging="539"/>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539"/>
        <w:jc w:val="both"/>
        <w:rPr/>
      </w:pPr>
      <w:r>
        <w:rPr>
          <w:rFonts w:cs="Traditional Arabic" w:ascii="Traditional Arabic" w:hAnsi="Traditional Arabic"/>
          <w:sz w:val="28"/>
          <w:szCs w:val="28"/>
          <w:rtl w:val="true"/>
        </w:rPr>
        <w:tab/>
      </w:r>
      <w:r>
        <w:rPr>
          <w:rFonts w:cs="Traditional Arabic" w:ascii="Traditional Arabic" w:hAnsi="Traditional Arabic"/>
          <w:sz w:val="28"/>
          <w:szCs w:val="28"/>
          <w:rtl w:val="true"/>
          <w:lang w:bidi="ar-JO"/>
        </w:rPr>
        <w:tab/>
      </w:r>
      <w:r>
        <w:rPr>
          <w:rFonts w:ascii="Traditional Arabic" w:hAnsi="Traditional Arabic" w:cs="Traditional Arabic"/>
          <w:sz w:val="28"/>
          <w:sz w:val="28"/>
          <w:szCs w:val="28"/>
          <w:rtl w:val="true"/>
          <w:lang w:bidi="ar-JO"/>
        </w:rPr>
        <w:t>والآية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الكريمة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أعلاه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مقدّمة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لعرض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مفصّل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SA"/>
        </w:rPr>
        <w:t>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المواريث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شريعته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قراءتنا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ينبغي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نتذكّر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لغة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تفترض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المتوفّى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رجلا،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ولكن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تسري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أيضا،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يقتضيه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تغيير،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المتوفّاة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امرأة</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rPr>
        <w:tab/>
      </w:r>
      <w:r>
        <w:rPr>
          <w:rFonts w:ascii="Traditional Arabic" w:hAnsi="Traditional Arabic" w:cs="Traditional Arabic"/>
          <w:sz w:val="28"/>
          <w:sz w:val="28"/>
          <w:szCs w:val="28"/>
          <w:rtl w:val="true"/>
          <w:lang w:bidi="ar-JO"/>
        </w:rPr>
        <w:t>إنّ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نظام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المواريث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يعتمد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أساسا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سنّها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ويقضي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بتوزيع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التّركة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طبقات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الورّاث</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الذّرّيّة،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والأزواج،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والأخوة،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والأخوات،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والمعلّمين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والأصل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المواريث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الشّريعة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البهائيّة،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يترك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المتوفّى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وصيّة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تقسّم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تركته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النّحو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التّالي</w:t>
      </w:r>
      <w:r>
        <w:rPr>
          <w:rFonts w:cs="Traditional Arabic" w:ascii="Traditional Arabic" w:hAnsi="Traditional Arabic"/>
          <w:sz w:val="28"/>
          <w:szCs w:val="28"/>
          <w:rtl w:val="true"/>
        </w:rPr>
        <w:t>:</w:t>
      </w:r>
    </w:p>
    <w:p>
      <w:pPr>
        <w:pStyle w:val="Normal"/>
        <w:bidi w:val="1"/>
        <w:ind w:left="0" w:right="0" w:hanging="539"/>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numPr>
          <w:ilvl w:val="0"/>
          <w:numId w:val="2"/>
        </w:numPr>
        <w:bidi w:val="1"/>
        <w:ind w:left="794" w:right="0" w:hanging="284"/>
        <w:jc w:val="both"/>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المتوفّى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يسكنها،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يختصّ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الابن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الأرشد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المسكن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34</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numPr>
          <w:ilvl w:val="0"/>
          <w:numId w:val="2"/>
        </w:numPr>
        <w:bidi w:val="1"/>
        <w:ind w:left="794" w:right="0" w:hanging="284"/>
        <w:jc w:val="both"/>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يترك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المتوفّى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ذرّيّة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ذكورا،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ذرّيّته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الإناث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ثلثيّ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سكناه،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الثّلث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lang w:bidi="ar-JO"/>
        </w:rPr>
        <w:t>41</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w:t>
      </w:r>
      <w:r>
        <w:rPr>
          <w:rFonts w:cs="Traditional Arabic" w:ascii="Traditional Arabic" w:hAnsi="Traditional Arabic"/>
          <w:sz w:val="28"/>
          <w:szCs w:val="28"/>
          <w:lang w:bidi="ar-JO"/>
        </w:rPr>
        <w:t>72</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فقرة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42</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لمعرفة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يتعلّق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المحلّي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الأعظم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انظر أيضا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فقرة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44</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numPr>
          <w:ilvl w:val="0"/>
          <w:numId w:val="2"/>
        </w:numPr>
        <w:bidi w:val="1"/>
        <w:ind w:left="794" w:right="0" w:hanging="284"/>
        <w:jc w:val="both"/>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توزّع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باقي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التّركة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الطّبقات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السّبع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الورّاث</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ولتفصيل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يتعلّق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الأسهم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تؤول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طبقة،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5</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خلاصة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والأوامر،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رابعا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ج</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3</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numPr>
          <w:ilvl w:val="0"/>
          <w:numId w:val="2"/>
        </w:numPr>
        <w:bidi w:val="1"/>
        <w:ind w:left="794" w:right="0" w:hanging="284"/>
        <w:jc w:val="both"/>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عند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أكثر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وارث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الطّبقة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الواحدة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تقسّم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الأسهم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المخصّصة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الطّبقة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بالتّساوي،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ذكورا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إناثا</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numPr>
          <w:ilvl w:val="0"/>
          <w:numId w:val="2"/>
        </w:numPr>
        <w:bidi w:val="1"/>
        <w:ind w:left="794" w:right="0" w:hanging="284"/>
        <w:jc w:val="both"/>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عدم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ذرّيّة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حصّتهم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lang w:bidi="ar-JO"/>
        </w:rPr>
        <w:t>7</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w:t>
      </w:r>
      <w:r>
        <w:rPr>
          <w:rFonts w:cs="Traditional Arabic" w:ascii="Traditional Arabic" w:hAnsi="Traditional Arabic"/>
          <w:sz w:val="28"/>
          <w:szCs w:val="28"/>
          <w:lang w:bidi="ar-JO"/>
        </w:rPr>
        <w:t>41</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numPr>
          <w:ilvl w:val="0"/>
          <w:numId w:val="2"/>
        </w:numPr>
        <w:bidi w:val="1"/>
        <w:ind w:left="794" w:right="0" w:hanging="284"/>
        <w:jc w:val="both"/>
        <w:rPr/>
      </w:pPr>
      <w:r>
        <w:rPr>
          <w:rFonts w:ascii="Traditional Arabic" w:hAnsi="Traditional Arabic" w:cs="Traditional Arabic"/>
          <w:sz w:val="28"/>
          <w:sz w:val="28"/>
          <w:szCs w:val="28"/>
          <w:rtl w:val="true"/>
          <w:lang w:bidi="ar-JO"/>
        </w:rPr>
        <w:t>عند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ذرّيّة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وغياب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طبقات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الورّاث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الآخرين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بعضهم،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ثلثا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حصصهم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الذّرّيّة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والثّلث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7</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numPr>
          <w:ilvl w:val="0"/>
          <w:numId w:val="2"/>
        </w:numPr>
        <w:bidi w:val="1"/>
        <w:ind w:left="794" w:right="0" w:hanging="284"/>
        <w:jc w:val="both"/>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عند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عدم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طبقات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الورّاث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المذكورة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ثلثا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حصصهم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ذرّيّة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إخوة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وأخوات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المتوفّى،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وإن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يوجدوا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حصصهم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الأعمام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والأخوال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والعمّات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والخالات،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وإن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يوجدوا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ذرّيّاتهم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البنين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والبنات</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الأحوال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الثّلث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numPr>
          <w:ilvl w:val="0"/>
          <w:numId w:val="2"/>
        </w:numPr>
        <w:bidi w:val="1"/>
        <w:ind w:left="794" w:right="0" w:hanging="284"/>
        <w:jc w:val="both"/>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يترك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المتوفّى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ورثة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التّركة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بكاملها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numPr>
          <w:ilvl w:val="0"/>
          <w:numId w:val="2"/>
        </w:numPr>
        <w:bidi w:val="1"/>
        <w:ind w:left="794" w:right="0" w:hanging="284"/>
        <w:jc w:val="both"/>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SA"/>
        </w:rPr>
        <w:t>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يرث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البهائيّ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والديه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وأقاربه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البهائيّين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34</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وأوضح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التّحديد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ينطبق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الحالات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يتوفّى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البهائيّ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دون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يترك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وصيّة،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يوجب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توزيع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تركته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طبقا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لأحكام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الكتاب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الأقدس،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عدا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ذلك،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فللبهائي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مطلق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الحرّيّة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ليوصي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بماله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يشاء،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بغضّ</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النّظر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ديانة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الموصى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شرط</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يترك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وصيّة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تبيّن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رغباته</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مترجم</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PlainText"/>
        <w:bidi w:val="1"/>
        <w:ind w:left="0" w:right="0" w:hanging="0"/>
        <w:jc w:val="both"/>
        <w:rPr>
          <w:rFonts w:ascii="Traditional Arabic" w:hAnsi="Traditional Arabic" w:cs="Traditional Arabic"/>
          <w:color w:val="FF0000"/>
          <w:sz w:val="28"/>
          <w:szCs w:val="28"/>
          <w:lang w:bidi="ar-JO"/>
        </w:rPr>
      </w:pPr>
      <w:r>
        <w:rPr>
          <w:rFonts w:ascii="Traditional Arabic" w:hAnsi="Traditional Arabic" w:cs="Traditional Arabic"/>
          <w:sz w:val="28"/>
          <w:sz w:val="28"/>
          <w:szCs w:val="28"/>
          <w:rtl w:val="true"/>
        </w:rPr>
        <w:t>وعلى ذلك يمكن للبهائي</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في كلّ الأحوال أن يترك لأقاربه وأولاده أو زوجه غير البهائيّين ما شاء من ميراث بالإيصاء لهم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ولمزيد من التّفصيل في أحكام المواريث انظر خلاصة الأحكام والأوامر رابعا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ج</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بند </w:t>
      </w:r>
      <w:r>
        <w:rPr>
          <w:rFonts w:cs="Traditional Arabic" w:ascii="Traditional Arabic" w:hAnsi="Traditional Arabic"/>
          <w:sz w:val="28"/>
          <w:szCs w:val="28"/>
        </w:rPr>
        <w:t>3</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أ – ص</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JO"/>
        </w:rPr>
        <w:t xml:space="preserve"> (</w:t>
      </w:r>
      <w:r>
        <w:rPr>
          <w:rFonts w:ascii="Traditional Arabic" w:hAnsi="Traditional Arabic" w:cs="Traditional Arabic"/>
          <w:color w:val="FF0000"/>
          <w:sz w:val="28"/>
          <w:sz w:val="28"/>
          <w:szCs w:val="28"/>
          <w:rtl w:val="true"/>
          <w:lang w:bidi="ar-JO"/>
        </w:rPr>
        <w:t xml:space="preserve">الكتاب الاقدس – الشرح </w:t>
      </w:r>
      <w:r>
        <w:rPr>
          <w:rFonts w:cs="Traditional Arabic" w:ascii="Traditional Arabic" w:hAnsi="Traditional Arabic"/>
          <w:color w:val="FF0000"/>
          <w:sz w:val="28"/>
          <w:szCs w:val="28"/>
          <w:lang w:bidi="ar-JO"/>
        </w:rPr>
        <w:t>38</w:t>
      </w:r>
      <w:r>
        <w:rPr>
          <w:rFonts w:cs="Traditional Arabic" w:ascii="Traditional Arabic" w:hAnsi="Traditional Arabic"/>
          <w:color w:val="FF0000"/>
          <w:sz w:val="28"/>
          <w:szCs w:val="28"/>
          <w:rtl w:val="true"/>
          <w:lang w:bidi="ar-JO"/>
        </w:rPr>
        <w:t xml:space="preserve">) </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وفقا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لتعاليم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واجب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يكتب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وصيّته،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حريّة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التّصرّف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تركته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كيفما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شاء</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فقرة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38</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وأكّد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SA"/>
        </w:rPr>
        <w:t>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الوصيّة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الإنسان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ماله</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قد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أذن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يفعل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ملّكه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كيف</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يشاء</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69</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المواريث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المنزّلة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الأقدس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فتطبّق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يترك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المتوفّى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وصيّة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توزيع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تركته</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 xml:space="preserve">انظر الشّرح فقرة </w:t>
      </w:r>
      <w:r>
        <w:rPr>
          <w:rFonts w:cs="Traditional Arabic" w:ascii="Traditional Arabic" w:hAnsi="Traditional Arabic"/>
          <w:sz w:val="28"/>
          <w:szCs w:val="28"/>
        </w:rPr>
        <w:t>38</w:t>
      </w:r>
      <w:r>
        <w:rPr>
          <w:rFonts w:cs="Traditional Arabic" w:ascii="Traditional Arabic" w:hAnsi="Traditional Arabic"/>
          <w:sz w:val="28"/>
          <w:szCs w:val="28"/>
          <w:rtl w:val="true"/>
        </w:rPr>
        <w:t>-</w:t>
      </w:r>
      <w:r>
        <w:rPr>
          <w:rFonts w:cs="Traditional Arabic" w:ascii="Traditional Arabic" w:hAnsi="Traditional Arabic"/>
          <w:sz w:val="28"/>
          <w:szCs w:val="28"/>
        </w:rPr>
        <w:t>48</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 الشرح </w:t>
      </w:r>
      <w:r>
        <w:rPr>
          <w:rFonts w:cs="Traditional Arabic" w:ascii="Traditional Arabic" w:hAnsi="Traditional Arabic"/>
          <w:color w:val="FF0000"/>
          <w:sz w:val="28"/>
          <w:szCs w:val="28"/>
        </w:rPr>
        <w:t>136</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كما سبق بي</w:t>
      </w:r>
      <w:r>
        <w:rPr>
          <w:rFonts w:ascii="Traditional Arabic" w:hAnsi="Traditional Arabic" w:cs="Traditional Arabic"/>
          <w:sz w:val="28"/>
          <w:sz w:val="28"/>
          <w:szCs w:val="28"/>
          <w:rtl w:val="true"/>
          <w:lang w:bidi="ar-JO"/>
        </w:rPr>
        <w:t>ا</w:t>
      </w:r>
      <w:r>
        <w:rPr>
          <w:rFonts w:ascii="Traditional Arabic" w:hAnsi="Traditional Arabic" w:cs="Traditional Arabic"/>
          <w:sz w:val="28"/>
          <w:sz w:val="28"/>
          <w:szCs w:val="28"/>
          <w:rtl w:val="true"/>
        </w:rPr>
        <w:t xml:space="preserve">نه في الفقرة </w:t>
      </w:r>
      <w:r>
        <w:rPr>
          <w:rFonts w:cs="Traditional Arabic" w:ascii="Traditional Arabic" w:hAnsi="Traditional Arabic"/>
          <w:sz w:val="28"/>
          <w:szCs w:val="28"/>
        </w:rPr>
        <w:t>33</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من الشّرح، لاسم الله الأعظم مشتقّات عديدة ترجع كلّها إلى الأصل وهي كلمة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بهاء</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وقد نفّذ البهائيّون في الشّرق أمر الكتاب الأقدس بخصوص الوصيّة بتصديرها بعبارات مثل</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rPr>
        <w:t>يا بهاء الأبهى</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بسمه الأبهى</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هو الأبهى</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 الشرح </w:t>
      </w:r>
      <w:r>
        <w:rPr>
          <w:rFonts w:cs="Traditional Arabic" w:ascii="Traditional Arabic" w:hAnsi="Traditional Arabic"/>
          <w:color w:val="FF0000"/>
          <w:sz w:val="28"/>
          <w:szCs w:val="28"/>
        </w:rPr>
        <w:t>137</w:t>
      </w:r>
      <w:r>
        <w:rPr>
          <w:rFonts w:cs="Traditional Arabic" w:ascii="Traditional Arabic" w:hAnsi="Traditional Arabic"/>
          <w:color w:val="FF0000"/>
          <w:sz w:val="28"/>
          <w:szCs w:val="28"/>
          <w:rtl w:val="true"/>
        </w:rPr>
        <w:t>)</w:t>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Traditional Arabic">
    <w:charset w:val="00"/>
    <w:family w:val="roman"/>
    <w:pitch w:val="variable"/>
  </w:font>
  <w:font w:name="Courier New">
    <w:charset w:val="00"/>
    <w:family w:val="modern"/>
    <w:pitch w:val="default"/>
  </w:font>
  <w:font w:name="Tahoma">
    <w:charset w:val="00"/>
    <w:family w:val="swiss"/>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6"/>
      </w:rPr>
    </w:pPr>
    <w:r>
      <w:rPr>
        <w:rFonts w:cs="Courier New" w:ascii="Courier New" w:hAnsi="Courier New"/>
        <w:color w:val="0000FF"/>
        <w:sz w:val="24"/>
        <w:szCs w:val="16"/>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decimal"/>
      <w:lvlText w:val="%1."/>
      <w:lvlJc w:val="right"/>
      <w:pPr>
        <w:tabs>
          <w:tab w:val="num" w:pos="586"/>
        </w:tabs>
        <w:ind w:left="794" w:hanging="284"/>
      </w:pPr>
      <w:rPr>
        <w:sz w:val="28"/>
        <w:szCs w:val="28"/>
        <w:rFonts w:ascii="Traditional Arabic" w:hAnsi="Traditional Arabic" w:cs="Traditional Arabic"/>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raditional Arabic" w:hAnsi="Traditional Arabic" w:cs="Traditional Arabic"/>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