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محو کتب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عفا اللّه عنکم ما نزّل في البيان من محو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الکُتب وأذنّاکم بأن تقرئوا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العلوم ما ينفعکم لا ما ينتهي إلی المجادلة في الکلام هذا خير لکم إن أنتم من العارفين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بشارات دهم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حکم محو کتب را از زبر و الواح بر داشتم فضلا من لدی الله مبعث هذا النّبأ العظیم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لوح بشارات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در لوح اشراقات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حضرت مبشّر روح ما سواه فداه احکامی نازل فرموده‌اند ولکن عالم امر معلّق بود به قبول لذا اين مظلوم بعضی را اجرا نمود و در کتاب اقدس به عبارات اخری نازل و در بعضی توق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 نموديم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کتاب مبارک بيان محو کتب بر مؤمنين فرض گرديده بود مگر کتبی که در اثبات امر و شريعت اللّه نوشته شده باشد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اقدس ابهی اين حکم را نسخ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وليّ امراللّه در توقيعی که حسب الامر هيکل اطهر صادر گرديده در باره ماهيّت و کيفيّت احکام شديدی که در کتاب مبارک بيان نازل شده چنين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فهم و درک کامل احکام و حدود شاقّه نازله از قلم حضرت اعلی فقط از اين طريق ميسّر است که ماهيّت و مقصد و خواصّ ممتازه شريعت مبارکش به نحوی که نفس آن حضرت در آثار خويش بيان فرموده‌اند منظور 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طبق اين بيانات واضحه دور بيان اصولاً يک نهضت دينی و انقلاب اجتماعی بود که مدّتش بالضّروره کوتاه ولی مملوّ از وقايعی مصيبت آميز و مشحون از اصلاحاتی وسيع النّطاق و بنيان کن بود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موازين شديده و اعمال قاطعه‌ای را که حضرت نقطه اولی و اصحاب مجری می داشتند کل برای اين بود که بنياد تقاليد حزب شيعه را برانداخته راه را برای ظهور حضرت بهاءاللّه هموار سازد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حضرت اعلی به منظور اثبات استقلال دور جديد و نيز برای آماده ساختن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زمينه جهت ظهور قريب الوقوع جمال قدم احکامی بسيار دشوار و شديد نازل فرمودند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اگر چه اغلب اين احکام هرگز به مرحله اجرا در نيامد ولی نفس نزول اين احکام دلالت بر استقلال آئين حضرت اعلی داشت و همين کافی بود تا هيجانی عظيم ايجاد نمايد و علمای دين را به چنان مخالفتی برانگيزد که بالمآل شهادت حضرتش را سبب گردد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ترجمه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>
        <w:lang w:bidi="ar-JO"/>
      </w:rPr>
    </w:pPr>
    <w:r>
      <w:rPr>
        <w:rtl w:val="true"/>
        <w:lang w:bidi="ar-JO"/>
      </w:rPr>
      <w:t>محو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كتب</w:t>
    </w:r>
    <w:r>
      <w:rPr>
        <w:rFonts w:cs="Calibri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