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ظلم به حیوانات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لا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تحملوا على الحيوان ما يعجز عن حمله 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نهيناكم عن ذلك نهيًا عظيمًا في الكتاب 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مظاهر العدل والإنصاف بين السّموات والأرضين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منظور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ايقان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مستطاب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بضُرّ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 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 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ملتفت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 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 فرقی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 شکوه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مراجعت 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شکوه 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بشکايت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ببيند 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عدالةً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 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صغر 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رؤوف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 حيوانی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اطعام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گنهکارند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بيگناهان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مرحمت 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مؤذيه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مثلِ گرگ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خوانخوار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گزنده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مؤذيه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باينها 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 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بگوسفند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کلبِ عقور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فرصت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 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 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 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منظور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البَهَاءُالْاَبْهَی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مکاتيب حضرت عبدالبهاء،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 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 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 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 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جرّاحی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اکتشافاتی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 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جرّاحی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اکتشافی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نظرگاهِ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منفعت 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 نتايج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بيهوشی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مهلک بهلاکت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هزاران مليون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مسلط 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 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موذيه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احتياط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 مدهوش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موذيه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سلامتی 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موذی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 موذی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 گرگ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اکتشافی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 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 اکتشافات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 وَعَلَيْکَ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البَهاءُ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الْاَبْهَی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ظلم به حیوانات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