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تلاوة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الاسم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الاعظم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٩٥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مرّة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اليوم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كتب لمن دان بالله الدّيّان أن يغسل في 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يوم يديه ثمّ وجهه ويقعد مقبلا إلى الله ويذكر خمسا وتسعين مرّة الله أبهى كذلك حكم فاطر السّماء إذ استوى على أعراش الأسم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بالعظمة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هل يجوز تلاوة الاسم الأعظم خمسا وتسعين مرّة بنفس وضوء الصّلاة أم لا؟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ضرورة لتجديد الوضوء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الحسنى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أعظمها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مكنونا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137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وعبارة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أبهى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مشتقّات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مشتقّات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الاسم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الأبهى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ابتهال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أبهى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وكلتا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العبارتين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تشيران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وعندما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الكلّيّ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أبهى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كتحيّة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إبّان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أدرنة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أبهى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وتسعين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34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الثّلاث،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أبهى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وتسعين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الدّعاء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استعدادا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للصّلاة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الوسطى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يقترن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استعدادا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ملحقات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وللوضوء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الاغتسال،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الاستحمام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التّيمّم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يضرّهم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51</w:t>
      </w:r>
      <w:r>
        <w:rPr>
          <w:rFonts w:cs="Traditional Arabic" w:ascii="Traditional Arabic" w:hAnsi="Traditional Arabic"/>
          <w:sz w:val="28"/>
          <w:szCs w:val="28"/>
          <w:rtl w:val="true"/>
        </w:rPr>
        <w:t>). 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الرّجوع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51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62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66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77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86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