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الغِيبة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القتل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والزّنا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الغِيبة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والإفتراء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نهيتم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الصّحائف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تَنَفَّسْ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بخطأِ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دمت خاطئا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شاهد 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کلمات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عربي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٣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تَنْسِبْ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تُحِبُّهُ لنفسک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تَقُلْ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 فاعمل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عربي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الغيبة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والافتراء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والخوض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المكنونة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الكريم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كيف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نسيت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عيوب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نفسك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واشتغلت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بعيوب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عبادي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فعليه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لعنة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منّي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تنفّس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بخطأ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دمت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خاطئا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تفعل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بغير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ملعون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شاهد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عهدي</w:t>
      </w:r>
      <w:r>
        <w:rPr>
          <w:rFonts w:cs="Traditional Arabic" w:ascii="Traditional Arabic" w:hAnsi="Traditional Arabic"/>
          <w:sz w:val="28"/>
          <w:szCs w:val="28"/>
          <w:rtl w:val="true"/>
        </w:rPr>
        <w:t>":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أقول،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اللّسان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لذكر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الخير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تدنّسوه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بالقول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السّيّئ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عفا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سلف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الجميع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الآن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يتكلّموا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ينبغي،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يجتنبوا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اللّعن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والطّعن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يتكدّر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الإنسان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