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الافتراء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والزّنا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الغِيبة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والإفتراء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نهيتم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الصّحائف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تَنَفَّسْ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بخطأِ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دمت خاطئا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 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کلمات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عربي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تَنْسِبْ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تُحِبُّهُ لنفسک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تَقُلْ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 فاعمل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عربي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الغيبة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والافتراء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والخوض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المكنونة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الكريم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كيف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نسيت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عيوب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نفسك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واشتغلت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بعيوب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عبادي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فعليه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لعنة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منّي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تنفّس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بخطأ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دمت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خاطئا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تفعل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ملعون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شاهد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عهدي</w:t>
      </w:r>
      <w:r>
        <w:rPr>
          <w:rFonts w:cs="Traditional Arabic" w:ascii="Traditional Arabic" w:hAnsi="Traditional Arabic"/>
          <w:sz w:val="28"/>
          <w:szCs w:val="28"/>
          <w:rtl w:val="true"/>
        </w:rPr>
        <w:t>":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أقول،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اللّسان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لذكر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الخير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تدنّسوه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بالقول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السّيّئ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عفا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سلف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الجميع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الآن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يتكلّموا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ينبغي،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يجتنبوا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اللّعن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والطّعن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يتكدّر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الإنسان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