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دخول در بیت دیگری بدون اذن صاحب خانه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أن تدخلوا بيتًا عند فقدان صاحبه إلاّ بعد إذنه تمسّكوا بالمعروف في كلّ الأحوال 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تكوننّ من الغافلين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إيّاكم أن تدخلوا بيت أحد إلا بعد رضائه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لوح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100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صفحه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345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يا قوم لا تفسدوا في الأرض ولا تدخلوا البيوت إلّا بعد الإذن هذا ما أمرتم به في الألواح إنّه على كلّ شيء شهيد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لوح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صفحه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Calibri" w:cs="Traditional Arabic" w:ascii="Traditional Arabic" w:hAnsi="Traditional Arabic"/>
          <w:color w:val="FF0000"/>
          <w:sz w:val="28"/>
          <w:szCs w:val="28"/>
          <w:rtl w:val="true"/>
          <w:lang w:val="en-US" w:eastAsia="en-US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both"/>
      <w:rPr>
        <w:rFonts w:ascii="Traditional Arabic" w:hAnsi="Traditional Arabic" w:cs="Traditional Arabic"/>
        <w:sz w:val="24"/>
        <w:szCs w:val="24"/>
        <w:lang w:bidi="fa-IR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fa-IR"/>
      </w:rPr>
      <w:t>نهی از دخول در بیت دیگری بدون اذن صاحب خانه</w:t>
    </w:r>
  </w:p>
  <w:p>
    <w:pPr>
      <w:pStyle w:val="Header"/>
      <w:rPr>
        <w:lang w:bidi="ar-JO"/>
      </w:rPr>
    </w:pPr>
    <w:r>
      <w:rPr>
        <w:lang w:bidi="ar-JO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